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84" w:rsidRPr="00F133C7" w:rsidRDefault="000A4119" w:rsidP="009E6F84">
      <w:pPr>
        <w:snapToGrid w:val="0"/>
        <w:spacing w:before="360"/>
        <w:jc w:val="center"/>
        <w:rPr>
          <w:rFonts w:eastAsia="標楷體"/>
          <w:b/>
          <w:sz w:val="52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DCC5" wp14:editId="17D455E6">
                <wp:simplePos x="0" y="0"/>
                <wp:positionH relativeFrom="column">
                  <wp:posOffset>9005455</wp:posOffset>
                </wp:positionH>
                <wp:positionV relativeFrom="paragraph">
                  <wp:posOffset>55418</wp:posOffset>
                </wp:positionV>
                <wp:extent cx="781050" cy="2952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119" w:rsidRPr="0074266C" w:rsidRDefault="00EC7E5C" w:rsidP="000A411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ADCC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09.1pt;margin-top:4.35pt;width:61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" fillcolor="white [3201]" strokeweight=".5pt">
                <v:textbox>
                  <w:txbxContent>
                    <w:p w:rsidR="000A4119" w:rsidRPr="0074266C" w:rsidRDefault="00EC7E5C" w:rsidP="000A411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EC7E5C">
        <w:rPr>
          <w:rFonts w:ascii="Times New Roman" w:eastAsia="標楷體" w:hAnsi="Times New Roman" w:cs="Times New Roman"/>
          <w:b/>
          <w:sz w:val="52"/>
          <w:szCs w:val="36"/>
        </w:rPr>
        <w:t>11</w:t>
      </w:r>
      <w:r w:rsidR="004B091E">
        <w:rPr>
          <w:rFonts w:ascii="Times New Roman" w:eastAsia="標楷體" w:hAnsi="Times New Roman" w:cs="Times New Roman" w:hint="eastAsia"/>
          <w:b/>
          <w:sz w:val="52"/>
          <w:szCs w:val="36"/>
        </w:rPr>
        <w:t>3</w:t>
      </w:r>
      <w:bookmarkStart w:id="0" w:name="_GoBack"/>
      <w:bookmarkEnd w:id="0"/>
      <w:r w:rsidR="009E6F84" w:rsidRPr="006A7823">
        <w:rPr>
          <w:rFonts w:eastAsia="標楷體"/>
          <w:b/>
          <w:sz w:val="52"/>
          <w:szCs w:val="36"/>
        </w:rPr>
        <w:t>年</w:t>
      </w:r>
      <w:r w:rsidR="009E6F84" w:rsidRPr="006A7823">
        <w:rPr>
          <w:rFonts w:eastAsia="標楷體" w:hint="eastAsia"/>
          <w:b/>
          <w:sz w:val="52"/>
          <w:szCs w:val="36"/>
        </w:rPr>
        <w:t>中醫負責醫師主要訓練診所遴選基準</w:t>
      </w:r>
      <w:r w:rsidR="009E6F84">
        <w:rPr>
          <w:rFonts w:eastAsia="標楷體" w:hint="eastAsia"/>
          <w:b/>
          <w:sz w:val="52"/>
          <w:szCs w:val="36"/>
        </w:rPr>
        <w:t>評量</w:t>
      </w:r>
      <w:r w:rsidR="009E6F84" w:rsidRPr="006A7823">
        <w:rPr>
          <w:rFonts w:eastAsia="標楷體" w:hint="eastAsia"/>
          <w:b/>
          <w:sz w:val="52"/>
          <w:szCs w:val="36"/>
        </w:rPr>
        <w:t>表</w:t>
      </w:r>
    </w:p>
    <w:p w:rsidR="009E6F84" w:rsidRDefault="009E6F84" w:rsidP="009E6F84">
      <w:pPr>
        <w:snapToGrid w:val="0"/>
        <w:spacing w:before="240"/>
        <w:jc w:val="both"/>
        <w:rPr>
          <w:rFonts w:eastAsia="標楷體"/>
          <w:b/>
          <w:sz w:val="32"/>
          <w:szCs w:val="36"/>
        </w:rPr>
      </w:pPr>
    </w:p>
    <w:p w:rsidR="009E6F84" w:rsidRDefault="009E6F84" w:rsidP="009E6F84">
      <w:pPr>
        <w:snapToGrid w:val="0"/>
        <w:spacing w:before="240"/>
        <w:jc w:val="both"/>
        <w:rPr>
          <w:rFonts w:eastAsia="標楷體"/>
          <w:b/>
          <w:sz w:val="32"/>
          <w:szCs w:val="36"/>
          <w:u w:val="single"/>
        </w:rPr>
      </w:pPr>
      <w:r>
        <w:rPr>
          <w:rFonts w:eastAsia="標楷體" w:hint="eastAsia"/>
          <w:b/>
          <w:sz w:val="32"/>
          <w:szCs w:val="36"/>
        </w:rPr>
        <w:t>院所</w:t>
      </w:r>
      <w:r w:rsidRPr="00176FF7">
        <w:rPr>
          <w:rFonts w:eastAsia="標楷體"/>
          <w:b/>
          <w:sz w:val="32"/>
          <w:szCs w:val="36"/>
        </w:rPr>
        <w:t>名稱：</w:t>
      </w:r>
      <w:r w:rsidRPr="00176FF7">
        <w:rPr>
          <w:rFonts w:eastAsia="標楷體"/>
          <w:b/>
          <w:sz w:val="32"/>
          <w:szCs w:val="36"/>
          <w:u w:val="single"/>
        </w:rPr>
        <w:t xml:space="preserve">                         </w:t>
      </w:r>
    </w:p>
    <w:p w:rsidR="009E6F84" w:rsidRPr="00176FF7" w:rsidRDefault="009E6F84" w:rsidP="009E6F84">
      <w:pPr>
        <w:snapToGrid w:val="0"/>
        <w:spacing w:before="240"/>
        <w:jc w:val="both"/>
        <w:rPr>
          <w:rFonts w:eastAsia="標楷體"/>
          <w:b/>
          <w:sz w:val="32"/>
          <w:szCs w:val="36"/>
          <w:u w:val="single"/>
        </w:rPr>
      </w:pPr>
    </w:p>
    <w:p w:rsidR="009E6F84" w:rsidRPr="005F7874" w:rsidRDefault="009E6F84" w:rsidP="009E6F84">
      <w:pPr>
        <w:snapToGrid w:val="0"/>
        <w:spacing w:before="240"/>
        <w:jc w:val="both"/>
        <w:rPr>
          <w:rFonts w:eastAsia="標楷體"/>
          <w:b/>
          <w:sz w:val="32"/>
          <w:szCs w:val="32"/>
        </w:rPr>
      </w:pPr>
      <w:r w:rsidRPr="005F7874">
        <w:rPr>
          <w:rFonts w:eastAsia="標楷體"/>
          <w:b/>
          <w:sz w:val="32"/>
          <w:szCs w:val="32"/>
        </w:rPr>
        <w:t>第</w:t>
      </w:r>
      <w:r w:rsidRPr="009E6F84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5F7874">
        <w:rPr>
          <w:rFonts w:eastAsia="標楷體"/>
          <w:b/>
          <w:sz w:val="32"/>
          <w:szCs w:val="32"/>
        </w:rPr>
        <w:t>篇、經營管理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5713"/>
        <w:gridCol w:w="1516"/>
        <w:gridCol w:w="5386"/>
      </w:tblGrid>
      <w:tr w:rsidR="009E6F84" w:rsidRPr="009E6F84" w:rsidTr="009E6F84">
        <w:trPr>
          <w:trHeight w:val="472"/>
          <w:jc w:val="center"/>
        </w:trPr>
        <w:tc>
          <w:tcPr>
            <w:tcW w:w="1003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proofErr w:type="gramStart"/>
            <w:r w:rsidRPr="009E6F8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受訪院所</w:t>
            </w:r>
            <w:proofErr w:type="gramEnd"/>
            <w:r w:rsidRPr="009E6F8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委員評量結果</w:t>
            </w:r>
            <w:r w:rsidRPr="009E6F84">
              <w:rPr>
                <w:rFonts w:ascii="Times New Roman" w:eastAsia="標楷體" w:hAnsi="Times New Roman" w:cs="Times New Roman"/>
                <w:b/>
                <w:sz w:val="32"/>
                <w:szCs w:val="32"/>
                <w:shd w:val="pct15" w:color="auto" w:fill="FFFFFF"/>
              </w:rPr>
              <w:t>(</w:t>
            </w:r>
            <w:r w:rsidRPr="009E6F84">
              <w:rPr>
                <w:rFonts w:ascii="Times New Roman" w:eastAsia="標楷體" w:hAnsi="Times New Roman" w:cs="Times New Roman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9E6F84">
              <w:rPr>
                <w:rFonts w:ascii="Times New Roman" w:eastAsia="標楷體" w:hAnsi="Times New Roman" w:cs="Times New Roman"/>
                <w:b/>
                <w:sz w:val="32"/>
                <w:szCs w:val="32"/>
                <w:shd w:val="pct15" w:color="auto" w:fill="FFFFFF"/>
              </w:rPr>
              <w:t>訪院所勿填</w:t>
            </w:r>
            <w:proofErr w:type="gramEnd"/>
            <w:r w:rsidRPr="009E6F84">
              <w:rPr>
                <w:rFonts w:ascii="Times New Roman" w:eastAsia="標楷體" w:hAnsi="Times New Roman" w:cs="Times New Roman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9E6F84" w:rsidTr="009E6F84">
        <w:trPr>
          <w:trHeight w:val="956"/>
          <w:jc w:val="center"/>
        </w:trPr>
        <w:tc>
          <w:tcPr>
            <w:tcW w:w="138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1.1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建立人事管理制度專責單位，並對醫師的診療品質及工作量，定期作客觀的評估。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訂定權責明確之人事管理規章及工作規範。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醫師工作量之評估應包含：診療的病人數及診療品質有定期評核機制。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9E6F84"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  <w:t xml:space="preserve">□符合 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6F84"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  <w:t>□不符合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9E6F84"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  <w:t xml:space="preserve"> □符合 □不符合</w:t>
            </w:r>
          </w:p>
        </w:tc>
      </w:tr>
      <w:tr w:rsidR="009E6F84" w:rsidRPr="009E6F84" w:rsidTr="009E6F84">
        <w:trPr>
          <w:trHeight w:val="705"/>
          <w:jc w:val="center"/>
        </w:trPr>
        <w:tc>
          <w:tcPr>
            <w:tcW w:w="138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工作規範如上班時間表、排班制度、工作說明書等，且符合相關規定。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委員綜合意見：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9E6F84" w:rsidTr="009E6F84">
        <w:trPr>
          <w:trHeight w:val="3249"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建議參考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評量方法及建議佐證資料：</w:t>
            </w:r>
          </w:p>
          <w:p w:rsidR="009E6F84" w:rsidRPr="009E6F84" w:rsidRDefault="009E6F84" w:rsidP="009E6F84">
            <w:pPr>
              <w:adjustRightInd w:val="0"/>
              <w:snapToGrid w:val="0"/>
              <w:spacing w:beforeLines="50" w:before="18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人事管理規章。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醫師門診時間表、病人數。</w:t>
            </w:r>
          </w:p>
        </w:tc>
        <w:tc>
          <w:tcPr>
            <w:tcW w:w="53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tabs>
          <w:tab w:val="left" w:pos="540"/>
        </w:tabs>
        <w:snapToGrid w:val="0"/>
        <w:spacing w:before="240"/>
        <w:ind w:right="1440"/>
        <w:rPr>
          <w:rFonts w:eastAsia="標楷體"/>
          <w:sz w:val="32"/>
          <w:szCs w:val="32"/>
        </w:rPr>
      </w:pPr>
    </w:p>
    <w:p w:rsidR="009E6F84" w:rsidRPr="009A1285" w:rsidRDefault="009E6F84" w:rsidP="009E6F84">
      <w:pPr>
        <w:tabs>
          <w:tab w:val="left" w:pos="540"/>
        </w:tabs>
        <w:snapToGrid w:val="0"/>
        <w:spacing w:before="240"/>
        <w:ind w:right="1440"/>
        <w:rPr>
          <w:rFonts w:eastAsia="標楷體"/>
          <w:sz w:val="32"/>
          <w:szCs w:val="32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574"/>
        <w:gridCol w:w="826"/>
        <w:gridCol w:w="5691"/>
        <w:gridCol w:w="1504"/>
        <w:gridCol w:w="5398"/>
      </w:tblGrid>
      <w:tr w:rsidR="009E6F84" w:rsidRPr="009E6F84" w:rsidTr="009E6F84">
        <w:trPr>
          <w:trHeight w:val="509"/>
          <w:jc w:val="center"/>
        </w:trPr>
        <w:tc>
          <w:tcPr>
            <w:tcW w:w="1001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proofErr w:type="gramStart"/>
            <w:r w:rsidRPr="009E6F8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受訪院所</w:t>
            </w:r>
            <w:proofErr w:type="gramEnd"/>
            <w:r w:rsidRPr="009E6F8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3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委員評量結果</w:t>
            </w:r>
            <w:r w:rsidRPr="009E6F84">
              <w:rPr>
                <w:rFonts w:ascii="Times New Roman" w:eastAsia="標楷體" w:hAnsi="Times New Roman" w:cs="Times New Roman"/>
                <w:b/>
                <w:sz w:val="32"/>
                <w:szCs w:val="32"/>
                <w:shd w:val="pct15" w:color="auto" w:fill="FFFFFF"/>
              </w:rPr>
              <w:t>(</w:t>
            </w:r>
            <w:r w:rsidRPr="009E6F84">
              <w:rPr>
                <w:rFonts w:ascii="Times New Roman" w:eastAsia="標楷體" w:hAnsi="Times New Roman" w:cs="Times New Roman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9E6F84">
              <w:rPr>
                <w:rFonts w:ascii="Times New Roman" w:eastAsia="標楷體" w:hAnsi="Times New Roman" w:cs="Times New Roman"/>
                <w:b/>
                <w:sz w:val="32"/>
                <w:szCs w:val="32"/>
                <w:shd w:val="pct15" w:color="auto" w:fill="FFFFFF"/>
              </w:rPr>
              <w:t>訪院所勿填</w:t>
            </w:r>
            <w:proofErr w:type="gramEnd"/>
            <w:r w:rsidRPr="009E6F84">
              <w:rPr>
                <w:rFonts w:ascii="Times New Roman" w:eastAsia="標楷體" w:hAnsi="Times New Roman" w:cs="Times New Roman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9E6F84" w:rsidTr="009E6F84">
        <w:trPr>
          <w:trHeight w:val="260"/>
          <w:jc w:val="center"/>
        </w:trPr>
        <w:tc>
          <w:tcPr>
            <w:tcW w:w="142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1.2</w:t>
            </w:r>
            <w:r w:rsidRPr="009E6F84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sz w:val="28"/>
                <w:szCs w:val="28"/>
              </w:rPr>
              <w:t>訂有明確之員工晉用及薪資制度且執行合宜。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訂定員工招募辦法。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依據相關法令訂定適當的薪資制度，並有規範加薪、獎金或晉級等事項。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訂定員工晉用及薪資制度能適時修訂，每次修訂均公告周知。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9E6F84"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  <w:t xml:space="preserve">□符合 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6F84"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  <w:t>□不符合</w:t>
            </w:r>
          </w:p>
        </w:tc>
        <w:tc>
          <w:tcPr>
            <w:tcW w:w="539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9E6F84"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  <w:t xml:space="preserve"> □符合 □不符合</w:t>
            </w:r>
          </w:p>
        </w:tc>
      </w:tr>
      <w:tr w:rsidR="009E6F84" w:rsidRPr="009E6F84" w:rsidTr="009E6F84">
        <w:trPr>
          <w:trHeight w:val="663"/>
          <w:jc w:val="center"/>
        </w:trPr>
        <w:tc>
          <w:tcPr>
            <w:tcW w:w="142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21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無。</w:t>
            </w:r>
          </w:p>
        </w:tc>
        <w:tc>
          <w:tcPr>
            <w:tcW w:w="5398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委員綜合意見：</w:t>
            </w:r>
          </w:p>
        </w:tc>
      </w:tr>
      <w:tr w:rsidR="009E6F84" w:rsidRPr="009E6F84" w:rsidTr="009E6F84">
        <w:trPr>
          <w:trHeight w:val="4554"/>
          <w:jc w:val="center"/>
        </w:trPr>
        <w:tc>
          <w:tcPr>
            <w:tcW w:w="142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建議參考</w:t>
            </w:r>
          </w:p>
        </w:tc>
        <w:tc>
          <w:tcPr>
            <w:tcW w:w="8021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評量方法及建議佐證資料：</w:t>
            </w:r>
          </w:p>
          <w:p w:rsidR="009E6F84" w:rsidRPr="009E6F84" w:rsidRDefault="009E6F84" w:rsidP="009E6F84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員工招募的規章制度。</w:t>
            </w:r>
          </w:p>
          <w:p w:rsidR="009E6F84" w:rsidRPr="009E6F84" w:rsidRDefault="009E6F84" w:rsidP="009E6F8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員工薪資的規章制度。</w:t>
            </w:r>
          </w:p>
        </w:tc>
        <w:tc>
          <w:tcPr>
            <w:tcW w:w="53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tabs>
          <w:tab w:val="left" w:pos="540"/>
        </w:tabs>
        <w:snapToGrid w:val="0"/>
        <w:spacing w:before="240"/>
        <w:ind w:right="1440"/>
        <w:rPr>
          <w:rFonts w:eastAsia="標楷體"/>
          <w:sz w:val="32"/>
          <w:szCs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240"/>
        <w:ind w:right="1440"/>
        <w:rPr>
          <w:rFonts w:eastAsia="標楷體"/>
          <w:sz w:val="32"/>
          <w:szCs w:val="32"/>
        </w:rPr>
      </w:pPr>
    </w:p>
    <w:p w:rsidR="009E6F84" w:rsidRPr="00176FF7" w:rsidRDefault="009E6F84" w:rsidP="009E6F84">
      <w:pPr>
        <w:tabs>
          <w:tab w:val="left" w:pos="540"/>
        </w:tabs>
        <w:snapToGrid w:val="0"/>
        <w:spacing w:before="240"/>
        <w:ind w:right="1440"/>
        <w:rPr>
          <w:rFonts w:eastAsia="標楷體"/>
          <w:sz w:val="32"/>
          <w:szCs w:val="32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46"/>
        <w:gridCol w:w="882"/>
        <w:gridCol w:w="5677"/>
        <w:gridCol w:w="1490"/>
        <w:gridCol w:w="5412"/>
      </w:tblGrid>
      <w:tr w:rsidR="009E6F84" w:rsidRPr="00176FF7" w:rsidTr="009E6F84">
        <w:trPr>
          <w:trHeight w:val="519"/>
          <w:jc w:val="center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lastRenderedPageBreak/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2272"/>
          <w:jc w:val="center"/>
        </w:trPr>
        <w:tc>
          <w:tcPr>
            <w:tcW w:w="141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1.3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訂定職業安全衛生管理計畫，及確實執行員工意外事件防範措施。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6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訂定員工意外事故防範辦法，且周知員工確實遵守，並對所訂辦法定期檢討修正。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建置員工工作安全異常事件通報機制，對安全管理相關異常事件，進行檢討，並視需要改善。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394"/>
          <w:jc w:val="center"/>
        </w:trPr>
        <w:tc>
          <w:tcPr>
            <w:tcW w:w="141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49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4622"/>
          <w:jc w:val="center"/>
        </w:trPr>
        <w:tc>
          <w:tcPr>
            <w:tcW w:w="141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4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評量方法及建議佐證資料：</w:t>
            </w:r>
          </w:p>
          <w:p w:rsidR="009E6F84" w:rsidRPr="00A14C56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14C56">
              <w:rPr>
                <w:rFonts w:eastAsia="標楷體" w:hint="eastAsia"/>
                <w:sz w:val="28"/>
                <w:szCs w:val="28"/>
              </w:rPr>
              <w:t>1.</w:t>
            </w:r>
            <w:r w:rsidRPr="00A14C56">
              <w:rPr>
                <w:rFonts w:eastAsia="標楷體" w:hint="eastAsia"/>
                <w:sz w:val="28"/>
                <w:szCs w:val="28"/>
              </w:rPr>
              <w:t>員工意外事故或異常事件防範辦法或規章。</w:t>
            </w:r>
          </w:p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14C56">
              <w:rPr>
                <w:rFonts w:eastAsia="標楷體" w:hint="eastAsia"/>
                <w:sz w:val="28"/>
                <w:szCs w:val="28"/>
              </w:rPr>
              <w:t>2.</w:t>
            </w:r>
            <w:r w:rsidRPr="00A14C56">
              <w:rPr>
                <w:rFonts w:eastAsia="標楷體" w:hint="eastAsia"/>
                <w:sz w:val="28"/>
                <w:szCs w:val="28"/>
              </w:rPr>
              <w:t>發生異常事件檢討之</w:t>
            </w:r>
            <w:r w:rsidRPr="00C9362A">
              <w:rPr>
                <w:rFonts w:eastAsia="標楷體" w:hint="eastAsia"/>
                <w:sz w:val="28"/>
                <w:szCs w:val="28"/>
              </w:rPr>
              <w:t>紀錄及</w:t>
            </w:r>
            <w:r w:rsidRPr="00A14C56">
              <w:rPr>
                <w:rFonts w:eastAsia="標楷體" w:hint="eastAsia"/>
                <w:sz w:val="28"/>
                <w:szCs w:val="28"/>
              </w:rPr>
              <w:t>相關辦法宣導。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/>
    <w:p w:rsidR="009E6F84" w:rsidRDefault="009E6F84"/>
    <w:p w:rsidR="009E6F84" w:rsidRDefault="009E6F84"/>
    <w:p w:rsidR="009E6F84" w:rsidRDefault="009E6F84"/>
    <w:p w:rsidR="009E6F84" w:rsidRDefault="009E6F84"/>
    <w:p w:rsidR="009E6F84" w:rsidRDefault="009E6F8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504"/>
        <w:gridCol w:w="924"/>
        <w:gridCol w:w="5761"/>
        <w:gridCol w:w="1406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lastRenderedPageBreak/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1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1.4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致力於建置完善合宜之工作環境，訂有且執行員工健康促進活動與福利制度。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辦理健康促進活動、提升員工士氣之福利措施。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9E6F84"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9E6F84"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9E6F84">
              <w:rPr>
                <w:rFonts w:ascii="Times New Roman" w:eastAsia="標楷體" w:hAnsi="Times New Roman" w:cs="Times New Roman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2258"/>
        </w:trPr>
        <w:tc>
          <w:tcPr>
            <w:tcW w:w="141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91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健康促進活動如：戒菸、推廣健康飲食、慢性病防治等活動之落實。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福利措施如：政府法令規定的福利事項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保險、薪資、休息及休假、退休、職業傷害、工作時間等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，非政府法令規定的福利事項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軟硬體設備輔助、相關資訊諮詢服務、相關補貼、獎金、家庭支持、旅遊、教育訓練等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4536"/>
        </w:trPr>
        <w:tc>
          <w:tcPr>
            <w:tcW w:w="141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91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評量方法及建議佐證資料：</w:t>
            </w:r>
          </w:p>
          <w:p w:rsidR="009E6F84" w:rsidRPr="00A14C56" w:rsidRDefault="009E6F84" w:rsidP="009E6F84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14C56">
              <w:rPr>
                <w:rFonts w:eastAsia="標楷體" w:hint="eastAsia"/>
                <w:sz w:val="28"/>
                <w:szCs w:val="28"/>
              </w:rPr>
              <w:t>1.</w:t>
            </w:r>
            <w:r w:rsidRPr="00A14C56">
              <w:rPr>
                <w:rFonts w:eastAsia="標楷體" w:hint="eastAsia"/>
                <w:sz w:val="28"/>
                <w:szCs w:val="28"/>
              </w:rPr>
              <w:t>教學與工作空間配置。</w:t>
            </w:r>
          </w:p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14C56">
              <w:rPr>
                <w:rFonts w:eastAsia="標楷體" w:hint="eastAsia"/>
                <w:sz w:val="28"/>
                <w:szCs w:val="28"/>
              </w:rPr>
              <w:t>2.</w:t>
            </w:r>
            <w:r w:rsidRPr="00A14C56">
              <w:rPr>
                <w:rFonts w:eastAsia="標楷體" w:hint="eastAsia"/>
                <w:sz w:val="28"/>
                <w:szCs w:val="28"/>
              </w:rPr>
              <w:t>健康促進與福利措施資料。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Pr="00176FF7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989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111"/>
        </w:trPr>
        <w:tc>
          <w:tcPr>
            <w:tcW w:w="133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1.5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健全的病歷資訊管理制度及環境。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病歷明訂記載規則及標準作業規定。紙本病歷應按內容類別編排有序。檔案排列整齊易於調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閱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；病歷調出與歸檔有作出入庫管理；嚴防病歷遭竄改、損毀及不當取得或使用。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電子病歷的讀取或下載，依循完備的資訊安全管理機制，應有確保系統故障回復及緊急應變之機制。於法定保存年限內應可完整呈現病歷紀錄。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紙本病歷檔案空間和電子病歷儲存主機所在處應有人員管理、確保妥善運作之相關設施設備，並在顯眼處設有滅火器。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1382"/>
        </w:trPr>
        <w:tc>
          <w:tcPr>
            <w:tcW w:w="13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全面或部分實施電子病歷之診所，應符合「醫療法」及「醫療機構電子病歷製作及管理辦法」之規定。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未向當地主管機關宣告實施電子病歷者，本條有關電子病歷之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部分免評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1983"/>
        </w:trPr>
        <w:tc>
          <w:tcPr>
            <w:tcW w:w="133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評量方法及建議佐證資料：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ind w:right="131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病歷製作與管理辦法。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ind w:right="8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病歷存放檔區和電子病歷主機所在處之管控及消防設備之設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ind w:leftChars="17" w:left="41" w:right="8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置。</w:t>
            </w:r>
          </w:p>
          <w:p w:rsidR="009E6F84" w:rsidRPr="00640BD0" w:rsidRDefault="009E6F84" w:rsidP="009E6F84">
            <w:pPr>
              <w:tabs>
                <w:tab w:val="left" w:pos="540"/>
              </w:tabs>
              <w:snapToGrid w:val="0"/>
              <w:ind w:right="1310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C9362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C9362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定期檢查電源主機溫度記錄。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widowControl/>
        <w:rPr>
          <w:rFonts w:eastAsia="標楷體"/>
          <w:b/>
          <w:sz w:val="32"/>
        </w:rPr>
      </w:pPr>
    </w:p>
    <w:p w:rsidR="009E6F84" w:rsidRDefault="009E6F84" w:rsidP="009E6F84">
      <w:pPr>
        <w:widowControl/>
        <w:rPr>
          <w:rFonts w:eastAsia="標楷體"/>
          <w:b/>
          <w:sz w:val="32"/>
        </w:rPr>
      </w:pPr>
    </w:p>
    <w:p w:rsidR="009E6F84" w:rsidRDefault="009E6F84" w:rsidP="009E6F84">
      <w:pPr>
        <w:widowControl/>
        <w:rPr>
          <w:rFonts w:eastAsia="標楷體"/>
          <w:b/>
          <w:sz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lastRenderedPageBreak/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1.6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病歷應詳實記載，並作量與質的審查及系統性歸檔以維護完整性。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醫師病歷紀錄應符合相關法規，相關紀錄應適當描述重點並將各類相關紀錄納入病歷。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訂定病歷調閱規範。紙本病歷首頁、紙本診療紀錄或電子病歷明顯處應有該病人「藥物過敏」之紀錄。處方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醫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令系統應有病人「藥物過敏」之提示。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9E6F84"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  <w:t xml:space="preserve">□符合 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6F84">
              <w:rPr>
                <w:rFonts w:ascii="標楷體" w:eastAsia="標楷體" w:hAnsi="標楷體" w:cs="Times New Roman"/>
                <w:bCs/>
                <w:snapToGrid w:val="0"/>
                <w:color w:val="000000"/>
                <w:sz w:val="28"/>
                <w:szCs w:val="28"/>
              </w:rPr>
              <w:t>□不符合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5129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本條文符合項目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至少應符合下列規範：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52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(1)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首頁載明病人姓名、出生年、月、日、性別及住址等基本資料。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52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(2)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就診日期。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52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(3)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病人主訴及現在病史。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52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(4)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身體檢查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(Physical Examination)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、檢查項目及結果。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52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(5)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診斷或病名。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52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(6)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治療、處置或用藥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處方，包括藥名、劑量、天數及服用方式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等情形。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52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(7)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所有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醫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事人員對病歷之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紀錄均有簽名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或蓋章及簽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日期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已實施電子病歷之診所應以電子簽章方式為之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；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另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，初診需符合過去病史、家族史、藥物過敏史、職業、旅遊史及資料提供者之規範。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1785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評量方法及建議佐證資料：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病歷書寫規範或審查作業辦法。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病歷品質管理辦法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含質、量、時效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9E6F84" w:rsidRPr="00640BD0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>資訊管理相關作業規範。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lastRenderedPageBreak/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1.7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具備資訊管理作業規範，以確保資訊安全及維護病人隱私，並訂有緊急應變處理機制。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應有資訊系統使用權限設定及防止資料外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洩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之資訊管理相關作業規範，並具備資訊安全管理機制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如：使用者權限界定、資訊系統密碼管理辦法、資訊系統備份作業程序、網路頻寬使用管理辦法、網際網路使用規範、網路信箱管理辦法等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，以確實保障病人個人隱私。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設有資料正確性之檢查機制，並檢討改善資料之正確性。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資訊設備機房應訂有人員管理及設置滅火器。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訂有資訊系統故障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當機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緊急應變標準作業規範。針對資訊系統故障緊急應變計畫進行演練，並有故障原因和處理檢討改善紀錄。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577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1942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評量方法及建議佐證資料：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訂有資訊管理相關作業規範。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診所資訊系統緊急應變程序。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lastRenderedPageBreak/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1.8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訂定安全管理作業規範，提供病人及員工安全的環境。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工作場所之安全設施，如：標準防護設備、電梯與電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扶梯防夾傷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、受困電梯內之求救設施等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無電扶梯者，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可免評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，定期檢核程序，以確保正常運作。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實施用電安全、消防安全、飲水設備等管理，如：對使用延長線、耗電用品、電流負荷、隨手關燈等予以規範。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飲水機保養和存放易燃物品空間，應有人員管理。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577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4949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評量方法及建議佐證資料：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left="185" w:right="8" w:hangingChars="66" w:hanging="18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參酌安全管理作業規範所進行之查核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如用電安全、消防安全等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、保養與維修紀錄、易燃物品清單與管理辦法。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left="185" w:right="150" w:hangingChars="66" w:hanging="18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地方衛生、消防與建管機關對於建築物公共與消防安全、飲水設備之聯合督考結果建議改善資料。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1.9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醫療機構應</w:t>
            </w:r>
            <w:proofErr w:type="gramStart"/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採</w:t>
            </w:r>
            <w:proofErr w:type="gramEnd"/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必要措施，以確保</w:t>
            </w:r>
            <w:proofErr w:type="gramStart"/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</w:t>
            </w:r>
            <w:proofErr w:type="gramEnd"/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事人員執行醫療業務時之安全。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依據辨識結果訂定防止員工受到暴力事件傷害之安全管理作業規範。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可參考勞動部公告之「執行職務遭受不法侵害預防指引」。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577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依據中華民國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日總統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華總一義字第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10600056441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號令修正公布醫療法第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  <w:r w:rsidR="00C9362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條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及</w:t>
            </w:r>
            <w:r w:rsidR="00C9362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第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條條文。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(1)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第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條：「醫療機構應保持環境整潔、秩序安寧，不得妨礙公共衛生及安全。為保障就醫安全，任何人不得以強暴、脅迫、恐嚇、公然侮辱或其他非法之方法，妨礙醫療業務之執行。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醫療機構應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必要措施，以確保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醫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事人員執行醫療業務時之安全。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違反第二項規定者，警察機關應排除或制止之；如涉及刑事責任者，應移送司法機關偵辦。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中央主管機關應建立通報機制，定期公告醫療機構受有第二項情事之內容及最終結果。」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(2)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第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106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條：「違反第二十四條第二項規定者，處新臺幣三萬元以上五萬元以下罰鍰。如觸犯刑事責任者，應移送司法機關辦理。毀損醫療機構或其他相類場所內關於保護生命之設備，致生危險於他人之生命、身體或健康者，處三年以下有期徒刑、拘役或新臺幣三十萬元以下罰金。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對於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醫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事人員或緊急醫療救護人員以強暴、脅迫、恐嚇或其他非法之方法，妨害其執行醫療或救護業務者，處三年以下有期徒刑，得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併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科新臺幣三十萬元以下罰金。</w:t>
            </w:r>
          </w:p>
          <w:p w:rsidR="009E6F84" w:rsidRPr="009E6F84" w:rsidRDefault="009E6F84" w:rsidP="009E6F84">
            <w:pPr>
              <w:adjustRightInd w:val="0"/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犯前項之罪，因而致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醫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事人員或緊急醫療救護人員於死者，處無期徒刑或七年以上有期徒刑；致重傷者，處三年以上十年以下有期徒刑。」</w:t>
            </w:r>
          </w:p>
          <w:p w:rsidR="009E6F84" w:rsidRPr="009E6F84" w:rsidRDefault="009E6F84" w:rsidP="009E6F8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可參考勞動部公告之「執行職務遭受不法侵害預防指引」。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lastRenderedPageBreak/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6186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評量方法及建議佐證資料：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訂有防止員工受到暴力事件傷害之安全管理作業規範。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防止暴力之員工之教育訓練資料。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>
      <w:pPr>
        <w:widowControl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1.10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提供病人及家屬衛教與診所服務資訊，並提供病人完整的就醫資訊及一般諮詢。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ind w:left="2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76FF7">
              <w:rPr>
                <w:rFonts w:eastAsia="標楷體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3D36F7">
            <w:pPr>
              <w:widowControl/>
              <w:adjustRightInd w:val="0"/>
              <w:snapToGrid w:val="0"/>
              <w:ind w:leftChars="-6" w:hangingChars="5" w:hanging="14"/>
              <w:rPr>
                <w:rFonts w:eastAsia="標楷體"/>
                <w:sz w:val="28"/>
                <w:szCs w:val="28"/>
              </w:rPr>
            </w:pPr>
            <w:r w:rsidRPr="005F78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對民眾提供就醫相關公開資訊，如：門診時間、醫師姓名及其專長或經歷簡介、相關政令宣導、掛號費各項醫療費用收費標準等資料。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577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6261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評量方法及建議佐證資料：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門診表。</w:t>
            </w:r>
          </w:p>
          <w:p w:rsidR="009E6F84" w:rsidRPr="009E6F8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醫療費用收費標準。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請參考各縣市衛生局公告收費標準</w:t>
            </w: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widowControl/>
        <w:rPr>
          <w:rFonts w:eastAsia="標楷體"/>
          <w:b/>
          <w:sz w:val="32"/>
        </w:rPr>
      </w:pPr>
    </w:p>
    <w:p w:rsidR="009E6F84" w:rsidRDefault="009E6F84" w:rsidP="009E6F84">
      <w:pPr>
        <w:widowControl/>
        <w:rPr>
          <w:rFonts w:eastAsia="標楷體"/>
          <w:b/>
          <w:sz w:val="32"/>
        </w:rPr>
      </w:pPr>
    </w:p>
    <w:p w:rsidR="009E6F84" w:rsidRDefault="009E6F84" w:rsidP="009E6F84">
      <w:pPr>
        <w:widowControl/>
        <w:rPr>
          <w:rFonts w:eastAsia="標楷體"/>
          <w:b/>
          <w:sz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1.11</w:t>
            </w:r>
            <w:r w:rsidRPr="005F7874">
              <w:rPr>
                <w:rFonts w:eastAsia="標楷體" w:hint="eastAsia"/>
                <w:kern w:val="0"/>
                <w:sz w:val="28"/>
                <w:szCs w:val="28"/>
              </w:rPr>
              <w:t>對於病人或家屬的意見、抱怨、申訴設有專責人員處理，並明訂處理流程。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ind w:left="2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76FF7">
              <w:rPr>
                <w:rFonts w:eastAsia="標楷體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5F78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設有專責人員處理病人或家屬的意見、抱怨及申訴案件。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1751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F78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設立</w:t>
            </w:r>
            <w:r w:rsidRPr="005F78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5F787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種以上能完整蒐集門診病人意見的管道，如：意見箱、專線電話、問卷調查或上網建議等。其收集意見的管道適當，如：意見箱設置於明顯處並定期收取；專線電話有管道讓民眾得知；若為問卷方式其內容應具體適當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1057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評量方法及建議佐證資料：</w:t>
            </w:r>
          </w:p>
          <w:p w:rsidR="009E6F84" w:rsidRPr="005F787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5F7874">
              <w:rPr>
                <w:rFonts w:eastAsia="標楷體" w:hint="eastAsia"/>
                <w:sz w:val="28"/>
                <w:szCs w:val="28"/>
              </w:rPr>
              <w:t>訂定病人或家屬意見、抱怨、申訴處理辦法和教育訓練紀錄。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widowControl/>
        <w:rPr>
          <w:rFonts w:eastAsia="標楷體"/>
          <w:sz w:val="32"/>
          <w:szCs w:val="32"/>
        </w:rPr>
      </w:pPr>
    </w:p>
    <w:p w:rsidR="009E6F84" w:rsidRDefault="009E6F84" w:rsidP="009E6F84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9E6F84" w:rsidRPr="005F7874" w:rsidRDefault="009E6F84" w:rsidP="009E6F84">
      <w:pPr>
        <w:snapToGrid w:val="0"/>
        <w:spacing w:before="240"/>
        <w:jc w:val="both"/>
        <w:rPr>
          <w:rFonts w:eastAsia="標楷體"/>
          <w:b/>
          <w:sz w:val="32"/>
          <w:szCs w:val="32"/>
        </w:rPr>
      </w:pPr>
      <w:r w:rsidRPr="005F7874">
        <w:rPr>
          <w:rFonts w:eastAsia="標楷體"/>
          <w:b/>
          <w:sz w:val="32"/>
          <w:szCs w:val="32"/>
        </w:rPr>
        <w:lastRenderedPageBreak/>
        <w:t>第</w:t>
      </w:r>
      <w:r>
        <w:rPr>
          <w:rFonts w:eastAsia="標楷體" w:hint="eastAsia"/>
          <w:b/>
          <w:sz w:val="32"/>
          <w:szCs w:val="32"/>
        </w:rPr>
        <w:t>2</w:t>
      </w:r>
      <w:r w:rsidRPr="005F7874">
        <w:rPr>
          <w:rFonts w:eastAsia="標楷體"/>
          <w:b/>
          <w:sz w:val="32"/>
          <w:szCs w:val="32"/>
        </w:rPr>
        <w:t>篇、</w:t>
      </w:r>
      <w:r w:rsidRPr="005F7874">
        <w:rPr>
          <w:rFonts w:eastAsia="標楷體" w:hint="eastAsia"/>
          <w:b/>
          <w:sz w:val="32"/>
          <w:szCs w:val="32"/>
        </w:rPr>
        <w:t>醫療照護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2.1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病人於門診檢查、處置，皆應保障其隱私及權利。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與病人進行溝通、病情說明、執行觸診診療行為及徵詢病人同意時，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均應考量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到環境及個人隱私之保護。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病人就診、檢查及處置時，應排除不相關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者在場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，並於場所中備有布簾、被單、治療巾等，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對於較私密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部位之檢查，應徵得病人同意，避免過度暴露，並依需要安排合適之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醫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事人員陪同，協助觀察病人、注意隱私之維護。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1230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參考衛生福利部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日衛部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醫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字第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1041660364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號公告修正之「醫療機構醫療隱私維護規範」。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4596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評量方法及建議佐證資料：</w:t>
            </w:r>
          </w:p>
          <w:p w:rsidR="009E6F84" w:rsidRPr="005F787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eastAsia="標楷體"/>
                <w:sz w:val="28"/>
                <w:szCs w:val="28"/>
              </w:rPr>
            </w:pPr>
            <w:r w:rsidRPr="005F7874">
              <w:rPr>
                <w:rFonts w:eastAsia="標楷體" w:hint="eastAsia"/>
                <w:sz w:val="28"/>
                <w:szCs w:val="28"/>
              </w:rPr>
              <w:t>實地檢視診間環境及維護隱私的作法。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/>
    <w:p w:rsidR="009E6F84" w:rsidRDefault="009E6F8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C9362A" w:rsidRDefault="009E6F84" w:rsidP="009E6F8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2.2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應有藥品識別或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  <w:lang w:eastAsia="zh-HK"/>
              </w:rPr>
              <w:t>驗收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機制，防止用藥錯誤及不適當</w:t>
            </w:r>
          </w:p>
          <w:p w:rsidR="009E6F84" w:rsidRPr="009E6F84" w:rsidRDefault="009E6F84" w:rsidP="009E6F8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（新增）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C9362A" w:rsidRDefault="009E6F84" w:rsidP="009E6F84">
            <w:pPr>
              <w:adjustRightInd w:val="0"/>
              <w:spacing w:line="360" w:lineRule="exact"/>
              <w:ind w:left="280" w:hangingChars="100" w:hanging="28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1.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應明訂中藥藥品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  <w:lang w:eastAsia="zh-HK"/>
              </w:rPr>
              <w:t>驗收</w:t>
            </w:r>
            <w:r w:rsidRPr="00C9362A">
              <w:rPr>
                <w:rFonts w:ascii="新細明體" w:hAnsi="新細明體" w:hint="eastAsia"/>
                <w:snapToGrid w:val="0"/>
                <w:color w:val="000000" w:themeColor="text1"/>
                <w:kern w:val="0"/>
                <w:sz w:val="28"/>
                <w:szCs w:val="24"/>
                <w:lang w:eastAsia="zh-HK"/>
              </w:rPr>
              <w:t>、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識別方法、步驟及作業程序。</w:t>
            </w:r>
          </w:p>
          <w:p w:rsidR="009E6F84" w:rsidRPr="00C9362A" w:rsidRDefault="009E6F84" w:rsidP="009E6F84">
            <w:pPr>
              <w:adjustRightInd w:val="0"/>
              <w:spacing w:line="360" w:lineRule="exact"/>
              <w:ind w:left="280" w:hangingChars="100" w:hanging="28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2.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應檢討中藥藥品外觀、包裝、標示或名稱發音相似的藥品清單，並注意其擺設位置及標示，避免發生錯誤。</w:t>
            </w:r>
          </w:p>
          <w:p w:rsidR="009E6F84" w:rsidRPr="00C9362A" w:rsidRDefault="009E6F84" w:rsidP="009E6F84">
            <w:pPr>
              <w:adjustRightInd w:val="0"/>
              <w:spacing w:line="360" w:lineRule="exact"/>
              <w:ind w:left="280" w:hangingChars="100" w:hanging="28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3.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對於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毒劇類中藥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應訂有管理機制，與其他中藥區隔存放，存放位置有明顯標示，且在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醫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令系統及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處方或藥袋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上有特殊標記以供辨識。</w:t>
            </w:r>
          </w:p>
          <w:p w:rsidR="009E6F84" w:rsidRPr="00C9362A" w:rsidRDefault="009E6F84" w:rsidP="009E6F84">
            <w:pPr>
              <w:adjustRightInd w:val="0"/>
              <w:spacing w:line="360" w:lineRule="exact"/>
              <w:ind w:left="280" w:hangingChars="100" w:hanging="28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4.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中藥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藥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袋之標示完整，符合衛生福利部規定，並有加印適應症、藥袋數量、醫囑指示及諮詢電話，且字體大小適當，對於應特別注意事項以明顯字體、顏色或圖案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凸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顯。</w:t>
            </w:r>
          </w:p>
          <w:p w:rsidR="009E6F84" w:rsidRPr="00C9362A" w:rsidRDefault="009E6F84" w:rsidP="009E6F84">
            <w:pPr>
              <w:adjustRightInd w:val="0"/>
              <w:spacing w:line="360" w:lineRule="exact"/>
              <w:ind w:left="280" w:hangingChars="100" w:hanging="28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5.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濃縮中藥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應原瓶上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架，藥品標示、藥（方）名、組成、用量清晰。</w:t>
            </w:r>
          </w:p>
          <w:p w:rsidR="009E6F84" w:rsidRPr="00C9362A" w:rsidRDefault="009E6F84" w:rsidP="009E6F84">
            <w:pPr>
              <w:adjustRightInd w:val="0"/>
              <w:spacing w:line="360" w:lineRule="exact"/>
              <w:ind w:left="280" w:hangingChars="100" w:hanging="28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6.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飲片若需分裝，應在分裝容器上清楚標示藥名、保存方式及使用期限。</w:t>
            </w:r>
          </w:p>
          <w:p w:rsidR="009E6F84" w:rsidRPr="00C9362A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7.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對經常出現之錯誤有書面資料，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並周知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同仁，避免重複發生錯誤。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521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C9362A" w:rsidRDefault="009E6F84" w:rsidP="009E6F84">
            <w:pPr>
              <w:adjustRightInd w:val="0"/>
              <w:spacing w:line="360" w:lineRule="exact"/>
              <w:ind w:left="280" w:hangingChars="100" w:hanging="28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C9362A"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  <w:t>1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. 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毒劇類中藥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為依據頒布之《臺灣中藥典》品項認定。</w:t>
            </w:r>
          </w:p>
          <w:p w:rsidR="009E6F84" w:rsidRPr="00C9362A" w:rsidRDefault="009E6F84" w:rsidP="009E6F84">
            <w:pPr>
              <w:adjustRightInd w:val="0"/>
              <w:spacing w:line="360" w:lineRule="exact"/>
              <w:ind w:left="280" w:hangingChars="100" w:hanging="28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2.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濃縮中藥應標明製造廠商、方劑名稱及組成或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單味藥藥典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名、濃縮比例、核准字號、製造批號、保存期限、適應症。</w:t>
            </w:r>
          </w:p>
          <w:p w:rsidR="009E6F84" w:rsidRPr="00C9362A" w:rsidRDefault="009E6F84" w:rsidP="009E6F84">
            <w:pPr>
              <w:adjustRightInd w:val="0"/>
              <w:spacing w:line="360" w:lineRule="exact"/>
              <w:ind w:left="280" w:hangingChars="100" w:hanging="28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3.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中藥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藥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袋標示應符合行政院衛生署中醫藥委員會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 98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年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 7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月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 20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日函示：「凡中醫醫療院機構所交付病人之藥劑，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均依醫療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法第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 66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條、醫師法第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14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條、藥師法第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 19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條規定，於容器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lastRenderedPageBreak/>
              <w:t>或包裝上載明病人姓名，性別，藥品（包含學名及商品名）、劑量、數量、用法、作用或適應症、警語或副作用、醫療機構名稱與地點、調劑者姓名及調劑年、月、日。」</w:t>
            </w:r>
          </w:p>
          <w:p w:rsidR="009E6F84" w:rsidRPr="00C9362A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4.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符合項目第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 6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項如無飲片服務者，本項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可免評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lastRenderedPageBreak/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5602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評量方法及建議佐證資料：</w:t>
            </w:r>
          </w:p>
          <w:p w:rsidR="009E6F84" w:rsidRPr="00C9362A" w:rsidRDefault="009E6F84" w:rsidP="009E6F84">
            <w:pPr>
              <w:adjustRightInd w:val="0"/>
              <w:spacing w:line="360" w:lineRule="exact"/>
              <w:ind w:left="280" w:hangingChars="100" w:hanging="28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1.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藥品辨識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  <w:lang w:eastAsia="zh-HK"/>
              </w:rPr>
              <w:t>或驗收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作業規範。</w:t>
            </w:r>
          </w:p>
          <w:p w:rsidR="009E6F84" w:rsidRPr="00C9362A" w:rsidRDefault="009E6F84" w:rsidP="009E6F84">
            <w:pPr>
              <w:adjustRightInd w:val="0"/>
              <w:spacing w:line="360" w:lineRule="exact"/>
              <w:ind w:left="280" w:hangingChars="100" w:hanging="28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 w:val="28"/>
                <w:szCs w:val="24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2.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藥品管理作業規範。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(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  <w:lang w:eastAsia="zh-HK"/>
              </w:rPr>
              <w:t>含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毒劇類中藥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  <w:lang w:eastAsia="zh-HK"/>
              </w:rPr>
              <w:t>管理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  <w:lang w:eastAsia="zh-HK"/>
              </w:rPr>
              <w:t>)</w:t>
            </w:r>
          </w:p>
          <w:p w:rsidR="009E6F84" w:rsidRPr="005F787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eastAsia="標楷體"/>
                <w:sz w:val="28"/>
                <w:szCs w:val="28"/>
              </w:rPr>
            </w:pP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 xml:space="preserve">3. </w:t>
            </w:r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中藥</w:t>
            </w:r>
            <w:proofErr w:type="gramStart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藥</w:t>
            </w:r>
            <w:proofErr w:type="gramEnd"/>
            <w:r w:rsidRPr="00C9362A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 w:val="28"/>
                <w:szCs w:val="24"/>
              </w:rPr>
              <w:t>袋。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P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>
      <w:pPr>
        <w:widowControl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C9362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C9362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3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訂定正確用藥標準作業程序。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訂定正確給藥標準作業程序。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應對病人所接受的治療與之前的處方用藥進行連貫性審視。</w:t>
            </w:r>
          </w:p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能正確依醫囑給藥，給藥時確認病人姓名、藥品名稱、劑量、用法、途徑、時間，並有紀錄。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門診交付藥品時，應訂定確認</w:t>
            </w:r>
            <w:proofErr w:type="gramStart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領藥人之</w:t>
            </w:r>
            <w:proofErr w:type="gramEnd"/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標準作業流程及機制。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521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5133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評量方法及建議佐證資料：</w:t>
            </w:r>
          </w:p>
          <w:p w:rsidR="009E6F84" w:rsidRPr="005F787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eastAsia="標楷體"/>
                <w:sz w:val="28"/>
                <w:szCs w:val="28"/>
              </w:rPr>
            </w:pPr>
            <w:r w:rsidRPr="006A7823">
              <w:rPr>
                <w:rFonts w:eastAsia="標楷體" w:hint="eastAsia"/>
                <w:sz w:val="28"/>
                <w:szCs w:val="28"/>
              </w:rPr>
              <w:t>正確用藥標準作業程序。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C9362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C9362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提供病人用藥教育。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建立慢性病人長期用藥監測機制，防止重複用藥或藥品交互作用，必要時提供病人用藥紀錄。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提供多元化病人用藥諮詢管道，如藥品諮詢、專題衛教、藥品諮詢查詢網站、電話專線、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e-mail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等，以加強病人對所用藥品的認識，並提高病人對醫囑的遵從性。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601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9E6F84">
        <w:trPr>
          <w:trHeight w:val="5413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評量方法及建議佐證資料：</w:t>
            </w:r>
          </w:p>
          <w:p w:rsidR="009E6F84" w:rsidRPr="005F7874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eastAsia="標楷體"/>
                <w:sz w:val="28"/>
                <w:szCs w:val="28"/>
              </w:rPr>
            </w:pPr>
            <w:r w:rsidRPr="006A7823">
              <w:rPr>
                <w:rFonts w:eastAsia="標楷體" w:hint="eastAsia"/>
                <w:sz w:val="28"/>
                <w:szCs w:val="28"/>
              </w:rPr>
              <w:t>病人用藥指導紀錄或衛教單張。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614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9E6F84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  <w:r w:rsidRPr="00C9362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5</w:t>
            </w:r>
            <w:r w:rsidRPr="009E6F8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應有完備之設施、設備、儀器，並確實執行保養管理及清潔管理。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9E6F84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應有獨立診療室及候診場所，並有適當維護隱私之設施。</w:t>
            </w:r>
          </w:p>
          <w:p w:rsidR="009E6F84" w:rsidRP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9E6F8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儀器、設備適當、足夠，並有清潔、檢查、保養及維修管理，且有紀錄可查。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1395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中醫相關設備及</w:t>
            </w:r>
            <w:r w:rsidR="00640BD0" w:rsidRPr="00C936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儀</w:t>
            </w:r>
            <w:r w:rsidR="00C936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器，</w:t>
            </w:r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如：</w:t>
            </w:r>
            <w:proofErr w:type="gramStart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針傷處置</w:t>
            </w:r>
            <w:proofErr w:type="gramEnd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使用之</w:t>
            </w:r>
            <w:proofErr w:type="gramStart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電針機</w:t>
            </w:r>
            <w:proofErr w:type="gramEnd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、遠紅外線機、</w:t>
            </w:r>
            <w:proofErr w:type="gramStart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薰</w:t>
            </w:r>
            <w:proofErr w:type="gramEnd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洗機、雷射針灸機及中醫輔助診斷醫療儀器</w:t>
            </w:r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脈診儀</w:t>
            </w:r>
            <w:proofErr w:type="gramEnd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、舌診儀、</w:t>
            </w:r>
            <w:proofErr w:type="gramStart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聞診儀</w:t>
            </w:r>
            <w:proofErr w:type="gramEnd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="00640BD0" w:rsidRPr="00C936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40BD0" w:rsidRPr="00C936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及中藥調劑設備</w:t>
            </w:r>
            <w:r w:rsidR="00640BD0" w:rsidRPr="00C936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640BD0" w:rsidRPr="00C936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混合機、分包機、粉碎機</w:t>
            </w:r>
            <w:r w:rsidR="00640BD0" w:rsidRPr="00C936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等。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640BD0">
        <w:trPr>
          <w:trHeight w:val="5282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640BD0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評量方法及建議佐證資料：</w:t>
            </w:r>
          </w:p>
          <w:p w:rsidR="009E6F84" w:rsidRPr="00640BD0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醫療</w:t>
            </w:r>
            <w:r w:rsidR="00640BD0"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>儀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器保養規範。</w:t>
            </w:r>
          </w:p>
          <w:p w:rsidR="009E6F84" w:rsidRPr="00640BD0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各項</w:t>
            </w:r>
            <w:proofErr w:type="gramStart"/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醫療衛</w:t>
            </w:r>
            <w:proofErr w:type="gramEnd"/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材無菌操作規範。</w:t>
            </w:r>
          </w:p>
          <w:p w:rsidR="00640BD0" w:rsidRPr="00640BD0" w:rsidRDefault="00640BD0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>醫療儀器檢查、保養及維修查核表。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761"/>
        <w:gridCol w:w="1392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9E6F84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640BD0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  <w:r w:rsidR="00640BD0" w:rsidRPr="00C9362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  <w:r w:rsidRPr="00640B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具有完備的病人安全措施。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640BD0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640BD0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640BD0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依「中醫醫療院所安全作業參考指引」擬訂照護安全作業規範，供人員查詢、執行。</w:t>
            </w:r>
          </w:p>
          <w:p w:rsidR="009E6F84" w:rsidRPr="00640BD0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對於醫療不良事件之預防及處置訂有作業流程及規範。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1175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醫療不良事件係</w:t>
            </w:r>
            <w:proofErr w:type="gramStart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指遺針、斷針</w:t>
            </w:r>
            <w:proofErr w:type="gramEnd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、針</w:t>
            </w:r>
            <w:proofErr w:type="gramStart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刺後血腫</w:t>
            </w:r>
            <w:proofErr w:type="gramEnd"/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、氣胸及藥物不良反應等情形。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640BD0">
        <w:trPr>
          <w:trHeight w:val="4810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640BD0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評量方法及建議佐證資料：</w:t>
            </w:r>
          </w:p>
          <w:p w:rsidR="009E6F84" w:rsidRPr="00640BD0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13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醫療安全作業參考指引。</w:t>
            </w:r>
          </w:p>
          <w:p w:rsidR="009E6F84" w:rsidRPr="00640BD0" w:rsidRDefault="009E6F84" w:rsidP="009E6F84">
            <w:pPr>
              <w:tabs>
                <w:tab w:val="left" w:pos="540"/>
              </w:tabs>
              <w:snapToGrid w:val="0"/>
              <w:spacing w:line="380" w:lineRule="exact"/>
              <w:ind w:right="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醫療異常事件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不良事件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及病人安全事件訂有作業流程及規範。</w:t>
            </w:r>
          </w:p>
          <w:p w:rsidR="00640BD0" w:rsidRPr="00640BD0" w:rsidRDefault="00640BD0" w:rsidP="00640BD0">
            <w:pPr>
              <w:tabs>
                <w:tab w:val="left" w:pos="540"/>
              </w:tabs>
              <w:snapToGrid w:val="0"/>
              <w:spacing w:line="380" w:lineRule="exact"/>
              <w:ind w:right="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>設有藥物</w:t>
            </w:r>
            <w:r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>中、西藥</w:t>
            </w:r>
            <w:r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>不良反應通報機制，執行藥物不良反應</w:t>
            </w:r>
            <w:r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ADR (Adverse Drug Reaction) </w:t>
            </w:r>
            <w:r w:rsidRPr="00C9362A">
              <w:rPr>
                <w:rFonts w:ascii="Times New Roman" w:eastAsia="標楷體" w:hAnsi="Times New Roman" w:cs="Times New Roman"/>
                <w:sz w:val="28"/>
                <w:szCs w:val="28"/>
              </w:rPr>
              <w:t>通報，並對發生不良反應之個案進行後續追蹤。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widowControl/>
        <w:rPr>
          <w:rFonts w:eastAsia="標楷體"/>
          <w:b/>
          <w:sz w:val="32"/>
        </w:rPr>
      </w:pPr>
    </w:p>
    <w:p w:rsidR="009E6F84" w:rsidRDefault="009E6F84" w:rsidP="009E6F84">
      <w:pPr>
        <w:widowControl/>
        <w:rPr>
          <w:rFonts w:eastAsia="標楷體"/>
          <w:b/>
          <w:sz w:val="32"/>
        </w:rPr>
      </w:pPr>
    </w:p>
    <w:p w:rsidR="009E6F84" w:rsidRDefault="009E6F84" w:rsidP="009E6F84">
      <w:pPr>
        <w:widowControl/>
        <w:rPr>
          <w:rFonts w:eastAsia="標楷體"/>
          <w:b/>
          <w:sz w:val="32"/>
        </w:rPr>
      </w:pPr>
    </w:p>
    <w:p w:rsidR="009E6F84" w:rsidRPr="006A7823" w:rsidRDefault="009E6F84" w:rsidP="009E6F84">
      <w:pPr>
        <w:snapToGrid w:val="0"/>
        <w:spacing w:before="240"/>
        <w:jc w:val="both"/>
        <w:rPr>
          <w:rFonts w:eastAsia="標楷體"/>
          <w:b/>
          <w:sz w:val="32"/>
          <w:szCs w:val="32"/>
        </w:rPr>
      </w:pPr>
      <w:r w:rsidRPr="005F7874">
        <w:rPr>
          <w:rFonts w:eastAsia="標楷體"/>
          <w:b/>
          <w:sz w:val="32"/>
          <w:szCs w:val="32"/>
        </w:rPr>
        <w:lastRenderedPageBreak/>
        <w:t>第</w:t>
      </w:r>
      <w:r w:rsidRPr="00640BD0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Pr="005F7874">
        <w:rPr>
          <w:rFonts w:eastAsia="標楷體"/>
          <w:b/>
          <w:sz w:val="32"/>
          <w:szCs w:val="32"/>
        </w:rPr>
        <w:t>篇、</w:t>
      </w:r>
      <w:r w:rsidRPr="006A7823">
        <w:rPr>
          <w:rFonts w:eastAsia="標楷體" w:hint="eastAsia"/>
          <w:b/>
          <w:sz w:val="32"/>
          <w:szCs w:val="32"/>
        </w:rPr>
        <w:t>教學訓練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340"/>
        <w:gridCol w:w="1813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640BD0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640BD0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3.1</w:t>
            </w:r>
            <w:r w:rsidRPr="00640B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適當安排並提供良好的訓練場所。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640BD0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640BD0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640BD0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依機構特性及訓練計畫需要，提供合適的訓練場所，並兼顧學習便利性、醫療品質及病人安全與隱私。</w:t>
            </w:r>
          </w:p>
          <w:p w:rsidR="009E6F84" w:rsidRPr="00640BD0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進行門診教學之診間（含教學門診），應有明顯標示。</w:t>
            </w:r>
          </w:p>
          <w:p w:rsidR="009E6F84" w:rsidRPr="00640BD0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進行門診教學時，應告知並徵得病人同意，並遵守衛生福利部公告之醫療機構醫療隱私維護規範。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633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640BD0">
        <w:trPr>
          <w:trHeight w:val="4412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640BD0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評量方法及建議佐證資料：</w:t>
            </w:r>
          </w:p>
          <w:p w:rsidR="009E6F84" w:rsidRPr="00640BD0" w:rsidRDefault="009E6F84" w:rsidP="009E6F84">
            <w:pPr>
              <w:tabs>
                <w:tab w:val="left" w:pos="47"/>
              </w:tabs>
              <w:snapToGrid w:val="0"/>
              <w:spacing w:line="380" w:lineRule="exact"/>
              <w:ind w:right="1310" w:firstLineChars="67" w:firstLine="1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實地察看教學場所之空間與設備。</w:t>
            </w:r>
          </w:p>
          <w:p w:rsidR="009E6F84" w:rsidRPr="00640BD0" w:rsidRDefault="009E6F84" w:rsidP="009E6F84">
            <w:pPr>
              <w:tabs>
                <w:tab w:val="left" w:pos="47"/>
              </w:tabs>
              <w:snapToGrid w:val="0"/>
              <w:spacing w:line="380" w:lineRule="exact"/>
              <w:ind w:right="1310" w:firstLineChars="67" w:firstLine="1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詢問教學負責人或受訓人員教學之訓練內容。</w:t>
            </w:r>
          </w:p>
          <w:p w:rsidR="009E6F84" w:rsidRPr="00640BD0" w:rsidRDefault="009E6F84" w:rsidP="009E6F84">
            <w:pPr>
              <w:tabs>
                <w:tab w:val="left" w:pos="47"/>
              </w:tabs>
              <w:snapToGrid w:val="0"/>
              <w:spacing w:line="380" w:lineRule="exact"/>
              <w:ind w:right="1310" w:firstLineChars="67" w:firstLine="1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教學訓練計畫。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9E6F84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04"/>
        <w:gridCol w:w="910"/>
        <w:gridCol w:w="5623"/>
        <w:gridCol w:w="1530"/>
        <w:gridCol w:w="5412"/>
      </w:tblGrid>
      <w:tr w:rsidR="009E6F84" w:rsidRPr="00176FF7" w:rsidTr="009E6F84">
        <w:trPr>
          <w:trHeight w:val="55"/>
        </w:trPr>
        <w:tc>
          <w:tcPr>
            <w:tcW w:w="1000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受訪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院所</w:t>
            </w:r>
            <w:proofErr w:type="gramEnd"/>
            <w:r w:rsidRPr="00176FF7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自評</w:t>
            </w:r>
          </w:p>
        </w:tc>
        <w:tc>
          <w:tcPr>
            <w:tcW w:w="541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6FF7">
              <w:rPr>
                <w:rFonts w:eastAsia="標楷體"/>
                <w:b/>
                <w:sz w:val="32"/>
                <w:szCs w:val="32"/>
              </w:rPr>
              <w:t>委員評量結果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(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受</w:t>
            </w:r>
            <w:proofErr w:type="gramStart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訪</w:t>
            </w:r>
            <w:r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院所</w:t>
            </w:r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勿填</w:t>
            </w:r>
            <w:proofErr w:type="gramEnd"/>
            <w:r w:rsidRPr="00176FF7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)</w:t>
            </w:r>
          </w:p>
        </w:tc>
      </w:tr>
      <w:tr w:rsidR="009E6F84" w:rsidRPr="00176FF7" w:rsidTr="00640BD0">
        <w:trPr>
          <w:trHeight w:val="1457"/>
        </w:trPr>
        <w:tc>
          <w:tcPr>
            <w:tcW w:w="14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6F84" w:rsidRPr="00640BD0" w:rsidRDefault="009E6F84" w:rsidP="009E6F84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3.2</w:t>
            </w:r>
            <w:r w:rsidRPr="00640BD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提升教師教學能力。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4" w:rsidRPr="00640BD0" w:rsidRDefault="009E6F84" w:rsidP="009E6F84">
            <w:pPr>
              <w:adjustRightInd w:val="0"/>
              <w:snapToGrid w:val="0"/>
              <w:ind w:left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sz w:val="28"/>
                <w:szCs w:val="28"/>
              </w:rPr>
              <w:t>評量項目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640BD0" w:rsidRDefault="009E6F84" w:rsidP="009E6F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5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640BD0" w:rsidRDefault="009E6F84" w:rsidP="009E6F84">
            <w:pPr>
              <w:adjustRightInd w:val="0"/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臨床醫學指導教師及中藥學指導教師應參與教學能力培訓課程。</w:t>
            </w:r>
          </w:p>
          <w:p w:rsidR="009E6F84" w:rsidRPr="00640BD0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640BD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教學培育課程包含專家共識會議、培訓營或教學相關研習課程。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6F84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E6F84" w:rsidRPr="00176FF7" w:rsidRDefault="009E6F84" w:rsidP="009E6F84">
            <w:pPr>
              <w:widowControl/>
              <w:adjustRightInd w:val="0"/>
              <w:snapToGrid w:val="0"/>
              <w:ind w:leftChars="1" w:left="167" w:hangingChars="59" w:hanging="165"/>
              <w:rPr>
                <w:rFonts w:eastAsia="標楷體"/>
                <w:sz w:val="28"/>
                <w:szCs w:val="28"/>
              </w:rPr>
            </w:pP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符合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535F6">
              <w:rPr>
                <w:rFonts w:ascii="標楷體" w:eastAsia="標楷體" w:hAnsi="標楷體"/>
                <w:bCs/>
                <w:snapToGrid w:val="0"/>
                <w:color w:val="000000"/>
                <w:sz w:val="28"/>
                <w:szCs w:val="28"/>
              </w:rPr>
              <w:t>□</w:t>
            </w:r>
            <w:r w:rsidRPr="00176FF7">
              <w:rPr>
                <w:rFonts w:eastAsia="標楷體"/>
                <w:bCs/>
                <w:snapToGrid w:val="0"/>
                <w:color w:val="000000"/>
                <w:sz w:val="28"/>
                <w:szCs w:val="28"/>
              </w:rPr>
              <w:t>不符合</w:t>
            </w:r>
          </w:p>
        </w:tc>
      </w:tr>
      <w:tr w:rsidR="009E6F84" w:rsidRPr="00176FF7" w:rsidTr="009E6F84">
        <w:trPr>
          <w:trHeight w:val="982"/>
        </w:trPr>
        <w:tc>
          <w:tcPr>
            <w:tcW w:w="143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176FF7"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F84" w:rsidRPr="006A7823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1.</w:t>
            </w:r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機構得視教師教學需求安排參與教學培育課程。</w:t>
            </w:r>
          </w:p>
          <w:p w:rsidR="009E6F84" w:rsidRPr="00176FF7" w:rsidRDefault="009E6F84" w:rsidP="009E6F84">
            <w:pPr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2.</w:t>
            </w:r>
            <w:r w:rsidRPr="006A782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未規定所有課程皆須由機構自行舉辦。</w:t>
            </w:r>
          </w:p>
        </w:tc>
        <w:tc>
          <w:tcPr>
            <w:tcW w:w="54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委員綜合意見：</w:t>
            </w:r>
          </w:p>
          <w:p w:rsidR="009E6F84" w:rsidRPr="00176FF7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2160"/>
              <w:jc w:val="right"/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9E6F84" w:rsidRPr="00176FF7" w:rsidTr="00640BD0">
        <w:trPr>
          <w:trHeight w:val="6564"/>
        </w:trPr>
        <w:tc>
          <w:tcPr>
            <w:tcW w:w="14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6FF7">
              <w:rPr>
                <w:rFonts w:eastAsia="標楷體"/>
                <w:sz w:val="28"/>
                <w:szCs w:val="28"/>
              </w:rPr>
              <w:t>建議參考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6F84" w:rsidRDefault="009E6F84" w:rsidP="009E6F84">
            <w:pPr>
              <w:tabs>
                <w:tab w:val="left" w:pos="540"/>
              </w:tabs>
              <w:snapToGrid w:val="0"/>
              <w:spacing w:before="120" w:line="380" w:lineRule="exact"/>
              <w:ind w:right="1309"/>
              <w:rPr>
                <w:rFonts w:eastAsia="標楷體"/>
                <w:b/>
                <w:sz w:val="28"/>
                <w:szCs w:val="28"/>
              </w:rPr>
            </w:pPr>
            <w:r w:rsidRPr="00176FF7">
              <w:rPr>
                <w:rFonts w:eastAsia="標楷體"/>
                <w:b/>
                <w:sz w:val="28"/>
                <w:szCs w:val="28"/>
              </w:rPr>
              <w:t>評量方法及建議佐證資料：</w:t>
            </w:r>
          </w:p>
          <w:p w:rsidR="009E6F84" w:rsidRPr="006A7823" w:rsidRDefault="009E6F84" w:rsidP="009E6F84">
            <w:pPr>
              <w:snapToGrid w:val="0"/>
              <w:spacing w:line="380" w:lineRule="exact"/>
              <w:ind w:right="131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 w:rsidRPr="006A7823">
              <w:rPr>
                <w:rFonts w:eastAsia="標楷體" w:hint="eastAsia"/>
                <w:sz w:val="28"/>
                <w:szCs w:val="28"/>
              </w:rPr>
              <w:t>訪談瞭解各教師參與課程情形。</w:t>
            </w:r>
          </w:p>
          <w:p w:rsidR="009E6F84" w:rsidRPr="006A7823" w:rsidRDefault="009E6F84" w:rsidP="009E6F84">
            <w:pPr>
              <w:snapToGrid w:val="0"/>
              <w:spacing w:line="380" w:lineRule="exact"/>
              <w:ind w:right="131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Pr="006A7823">
              <w:rPr>
                <w:rFonts w:eastAsia="標楷體" w:hint="eastAsia"/>
                <w:sz w:val="28"/>
                <w:szCs w:val="28"/>
              </w:rPr>
              <w:t>查核舉辦的課程是否符合培育教師之需求。</w:t>
            </w:r>
          </w:p>
          <w:p w:rsidR="009E6F84" w:rsidRPr="005F7874" w:rsidRDefault="009E6F84" w:rsidP="009E6F84">
            <w:pPr>
              <w:snapToGrid w:val="0"/>
              <w:spacing w:line="380" w:lineRule="exact"/>
              <w:ind w:right="131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Pr="006A7823">
              <w:rPr>
                <w:rFonts w:eastAsia="標楷體" w:hint="eastAsia"/>
                <w:sz w:val="28"/>
                <w:szCs w:val="28"/>
              </w:rPr>
              <w:t>各教師參與課程紀錄或結訓證明書。</w:t>
            </w:r>
          </w:p>
        </w:tc>
        <w:tc>
          <w:tcPr>
            <w:tcW w:w="54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9E6F84" w:rsidRPr="00176FF7" w:rsidRDefault="009E6F84" w:rsidP="009E6F84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6F84" w:rsidRPr="006A7823" w:rsidRDefault="009E6F84" w:rsidP="009E6F84">
      <w:pPr>
        <w:tabs>
          <w:tab w:val="left" w:pos="540"/>
        </w:tabs>
        <w:snapToGrid w:val="0"/>
        <w:spacing w:before="120" w:line="380" w:lineRule="exact"/>
        <w:ind w:right="1440"/>
        <w:rPr>
          <w:rFonts w:eastAsia="標楷體"/>
          <w:b/>
          <w:sz w:val="32"/>
        </w:rPr>
      </w:pPr>
    </w:p>
    <w:p w:rsidR="00D64614" w:rsidRPr="009E6F84" w:rsidRDefault="00D64614" w:rsidP="00D64614">
      <w:pPr>
        <w:rPr>
          <w:rFonts w:ascii="標楷體" w:eastAsia="標楷體" w:hAnsi="標楷體"/>
          <w:b/>
          <w:szCs w:val="24"/>
        </w:rPr>
      </w:pPr>
    </w:p>
    <w:sectPr w:rsidR="00D64614" w:rsidRPr="009E6F84" w:rsidSect="009E6F84">
      <w:footerReference w:type="default" r:id="rId8"/>
      <w:pgSz w:w="16838" w:h="11906" w:orient="landscape"/>
      <w:pgMar w:top="567" w:right="720" w:bottom="720" w:left="720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A4" w:rsidRDefault="00A221A4" w:rsidP="008D1CAD">
      <w:r>
        <w:separator/>
      </w:r>
    </w:p>
  </w:endnote>
  <w:endnote w:type="continuationSeparator" w:id="0">
    <w:p w:rsidR="00A221A4" w:rsidRDefault="00A221A4" w:rsidP="008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84" w:rsidRDefault="009E6F84">
    <w:pPr>
      <w:pStyle w:val="a7"/>
      <w:jc w:val="center"/>
    </w:pPr>
  </w:p>
  <w:p w:rsidR="009E6F84" w:rsidRDefault="009E6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A4" w:rsidRDefault="00A221A4" w:rsidP="008D1CAD">
      <w:r>
        <w:separator/>
      </w:r>
    </w:p>
  </w:footnote>
  <w:footnote w:type="continuationSeparator" w:id="0">
    <w:p w:rsidR="00A221A4" w:rsidRDefault="00A221A4" w:rsidP="008D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9EF"/>
    <w:multiLevelType w:val="hybridMultilevel"/>
    <w:tmpl w:val="BF665540"/>
    <w:lvl w:ilvl="0" w:tplc="C930BA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E02CF"/>
    <w:multiLevelType w:val="hybridMultilevel"/>
    <w:tmpl w:val="F6FE179A"/>
    <w:lvl w:ilvl="0" w:tplc="0409000F">
      <w:start w:val="1"/>
      <w:numFmt w:val="decimal"/>
      <w:lvlText w:val="%1."/>
      <w:lvlJc w:val="left"/>
      <w:pPr>
        <w:ind w:left="-3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">
    <w:nsid w:val="0A656DA9"/>
    <w:multiLevelType w:val="hybridMultilevel"/>
    <w:tmpl w:val="8E840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012595"/>
    <w:multiLevelType w:val="hybridMultilevel"/>
    <w:tmpl w:val="BC8CB65C"/>
    <w:lvl w:ilvl="0" w:tplc="69F082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AC6C80"/>
    <w:multiLevelType w:val="hybridMultilevel"/>
    <w:tmpl w:val="60AAF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E56531"/>
    <w:multiLevelType w:val="hybridMultilevel"/>
    <w:tmpl w:val="B5DAF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1E2D02"/>
    <w:multiLevelType w:val="hybridMultilevel"/>
    <w:tmpl w:val="D17AD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36319F"/>
    <w:multiLevelType w:val="hybridMultilevel"/>
    <w:tmpl w:val="D26E5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17643E"/>
    <w:multiLevelType w:val="hybridMultilevel"/>
    <w:tmpl w:val="BE0EBDB2"/>
    <w:lvl w:ilvl="0" w:tplc="EC9261B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C03B8F"/>
    <w:multiLevelType w:val="hybridMultilevel"/>
    <w:tmpl w:val="164A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FC15B1"/>
    <w:multiLevelType w:val="hybridMultilevel"/>
    <w:tmpl w:val="DE46BC9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28E05C9F"/>
    <w:multiLevelType w:val="hybridMultilevel"/>
    <w:tmpl w:val="F6445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3A394F"/>
    <w:multiLevelType w:val="hybridMultilevel"/>
    <w:tmpl w:val="98429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2C7A91"/>
    <w:multiLevelType w:val="hybridMultilevel"/>
    <w:tmpl w:val="D7349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93605E"/>
    <w:multiLevelType w:val="hybridMultilevel"/>
    <w:tmpl w:val="85B4B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CA2389"/>
    <w:multiLevelType w:val="hybridMultilevel"/>
    <w:tmpl w:val="EE8E7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6016B4"/>
    <w:multiLevelType w:val="hybridMultilevel"/>
    <w:tmpl w:val="6E5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9D2013"/>
    <w:multiLevelType w:val="hybridMultilevel"/>
    <w:tmpl w:val="55865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AB3D73"/>
    <w:multiLevelType w:val="hybridMultilevel"/>
    <w:tmpl w:val="5F98C496"/>
    <w:lvl w:ilvl="0" w:tplc="1388A7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262AF0"/>
    <w:multiLevelType w:val="hybridMultilevel"/>
    <w:tmpl w:val="8A6AAA5A"/>
    <w:lvl w:ilvl="0" w:tplc="DCEABB9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F32A50"/>
    <w:multiLevelType w:val="hybridMultilevel"/>
    <w:tmpl w:val="D03C3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BE5278"/>
    <w:multiLevelType w:val="hybridMultilevel"/>
    <w:tmpl w:val="3A36B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37179B"/>
    <w:multiLevelType w:val="hybridMultilevel"/>
    <w:tmpl w:val="B150E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260A22"/>
    <w:multiLevelType w:val="hybridMultilevel"/>
    <w:tmpl w:val="B5286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4C0313"/>
    <w:multiLevelType w:val="hybridMultilevel"/>
    <w:tmpl w:val="341ED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A97644"/>
    <w:multiLevelType w:val="hybridMultilevel"/>
    <w:tmpl w:val="A64C2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09581A"/>
    <w:multiLevelType w:val="hybridMultilevel"/>
    <w:tmpl w:val="46CEC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D265A9"/>
    <w:multiLevelType w:val="hybridMultilevel"/>
    <w:tmpl w:val="56CE8D40"/>
    <w:lvl w:ilvl="0" w:tplc="7114695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ED4208"/>
    <w:multiLevelType w:val="hybridMultilevel"/>
    <w:tmpl w:val="3DEA9E6C"/>
    <w:lvl w:ilvl="0" w:tplc="029EBD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8F7FC0"/>
    <w:multiLevelType w:val="hybridMultilevel"/>
    <w:tmpl w:val="56CE8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0C5332"/>
    <w:multiLevelType w:val="hybridMultilevel"/>
    <w:tmpl w:val="C55E1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BA0AB2"/>
    <w:multiLevelType w:val="hybridMultilevel"/>
    <w:tmpl w:val="0CC67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511A0C"/>
    <w:multiLevelType w:val="hybridMultilevel"/>
    <w:tmpl w:val="07E88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A0731AE"/>
    <w:multiLevelType w:val="hybridMultilevel"/>
    <w:tmpl w:val="4B78B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A317B34"/>
    <w:multiLevelType w:val="hybridMultilevel"/>
    <w:tmpl w:val="805259A2"/>
    <w:lvl w:ilvl="0" w:tplc="5E9CE6D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762503"/>
    <w:multiLevelType w:val="hybridMultilevel"/>
    <w:tmpl w:val="5AD86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D23C6B"/>
    <w:multiLevelType w:val="hybridMultilevel"/>
    <w:tmpl w:val="0A1E78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5D62B6"/>
    <w:multiLevelType w:val="hybridMultilevel"/>
    <w:tmpl w:val="7A2EC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37"/>
  </w:num>
  <w:num w:numId="5">
    <w:abstractNumId w:val="34"/>
  </w:num>
  <w:num w:numId="6">
    <w:abstractNumId w:val="1"/>
  </w:num>
  <w:num w:numId="7">
    <w:abstractNumId w:val="11"/>
  </w:num>
  <w:num w:numId="8">
    <w:abstractNumId w:val="0"/>
  </w:num>
  <w:num w:numId="9">
    <w:abstractNumId w:val="33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6"/>
  </w:num>
  <w:num w:numId="15">
    <w:abstractNumId w:val="35"/>
  </w:num>
  <w:num w:numId="16">
    <w:abstractNumId w:val="6"/>
  </w:num>
  <w:num w:numId="17">
    <w:abstractNumId w:val="12"/>
  </w:num>
  <w:num w:numId="18">
    <w:abstractNumId w:val="28"/>
  </w:num>
  <w:num w:numId="19">
    <w:abstractNumId w:val="27"/>
  </w:num>
  <w:num w:numId="20">
    <w:abstractNumId w:val="5"/>
  </w:num>
  <w:num w:numId="21">
    <w:abstractNumId w:val="14"/>
  </w:num>
  <w:num w:numId="22">
    <w:abstractNumId w:val="36"/>
  </w:num>
  <w:num w:numId="23">
    <w:abstractNumId w:val="21"/>
  </w:num>
  <w:num w:numId="24">
    <w:abstractNumId w:val="10"/>
  </w:num>
  <w:num w:numId="25">
    <w:abstractNumId w:val="26"/>
  </w:num>
  <w:num w:numId="26">
    <w:abstractNumId w:val="8"/>
  </w:num>
  <w:num w:numId="27">
    <w:abstractNumId w:val="13"/>
  </w:num>
  <w:num w:numId="28">
    <w:abstractNumId w:val="30"/>
  </w:num>
  <w:num w:numId="29">
    <w:abstractNumId w:val="32"/>
  </w:num>
  <w:num w:numId="30">
    <w:abstractNumId w:val="4"/>
  </w:num>
  <w:num w:numId="31">
    <w:abstractNumId w:val="19"/>
  </w:num>
  <w:num w:numId="32">
    <w:abstractNumId w:val="17"/>
  </w:num>
  <w:num w:numId="33">
    <w:abstractNumId w:val="9"/>
  </w:num>
  <w:num w:numId="34">
    <w:abstractNumId w:val="29"/>
  </w:num>
  <w:num w:numId="35">
    <w:abstractNumId w:val="15"/>
  </w:num>
  <w:num w:numId="36">
    <w:abstractNumId w:val="7"/>
  </w:num>
  <w:num w:numId="37">
    <w:abstractNumId w:val="1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14"/>
    <w:rsid w:val="00014637"/>
    <w:rsid w:val="000A4119"/>
    <w:rsid w:val="0018027F"/>
    <w:rsid w:val="0025308A"/>
    <w:rsid w:val="00372ADC"/>
    <w:rsid w:val="003B21E4"/>
    <w:rsid w:val="003D36F7"/>
    <w:rsid w:val="004B091E"/>
    <w:rsid w:val="004B43E9"/>
    <w:rsid w:val="00611176"/>
    <w:rsid w:val="00640BD0"/>
    <w:rsid w:val="006525CF"/>
    <w:rsid w:val="00661F41"/>
    <w:rsid w:val="006D7700"/>
    <w:rsid w:val="006F10CC"/>
    <w:rsid w:val="0074266C"/>
    <w:rsid w:val="007558EA"/>
    <w:rsid w:val="00830ED0"/>
    <w:rsid w:val="0089692E"/>
    <w:rsid w:val="008C0DFB"/>
    <w:rsid w:val="008D1CAD"/>
    <w:rsid w:val="009E6F84"/>
    <w:rsid w:val="00A212FF"/>
    <w:rsid w:val="00A221A4"/>
    <w:rsid w:val="00B67DC8"/>
    <w:rsid w:val="00BC0909"/>
    <w:rsid w:val="00C37416"/>
    <w:rsid w:val="00C9362A"/>
    <w:rsid w:val="00CF42EA"/>
    <w:rsid w:val="00D53921"/>
    <w:rsid w:val="00D64614"/>
    <w:rsid w:val="00DA3E62"/>
    <w:rsid w:val="00E60FA6"/>
    <w:rsid w:val="00EC7E5C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A50DE-EFFD-4B72-95E4-B68FF2B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DFB"/>
    <w:pPr>
      <w:ind w:left="480"/>
    </w:pPr>
  </w:style>
  <w:style w:type="paragraph" w:styleId="a5">
    <w:name w:val="header"/>
    <w:basedOn w:val="a"/>
    <w:link w:val="a6"/>
    <w:uiPriority w:val="99"/>
    <w:unhideWhenUsed/>
    <w:rsid w:val="008D1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1C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44E8-8390-4C71-89EF-3248308A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邱靖茹庶務助理員</dc:creator>
  <cp:keywords/>
  <dc:description/>
  <cp:lastModifiedBy>user</cp:lastModifiedBy>
  <cp:revision>11</cp:revision>
  <dcterms:created xsi:type="dcterms:W3CDTF">2021-12-09T10:18:00Z</dcterms:created>
  <dcterms:modified xsi:type="dcterms:W3CDTF">2024-03-01T06:36:00Z</dcterms:modified>
</cp:coreProperties>
</file>