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90" w:rsidRPr="00DB546C" w:rsidRDefault="00DB546C" w:rsidP="00DB546C">
      <w:pPr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r w:rsidRPr="00DB546C">
        <w:rPr>
          <w:rFonts w:ascii="標楷體" w:eastAsia="標楷體" w:hAnsi="標楷體"/>
          <w:sz w:val="48"/>
          <w:szCs w:val="48"/>
        </w:rPr>
        <w:t>醫療機構設置標準</w:t>
      </w:r>
    </w:p>
    <w:bookmarkEnd w:id="0"/>
    <w:p w:rsidR="00DB546C" w:rsidRDefault="00DB546C" w:rsidP="00DB546C">
      <w:pPr>
        <w:jc w:val="right"/>
        <w:rPr>
          <w:rFonts w:hint="eastAsia"/>
        </w:rPr>
      </w:pPr>
      <w:r>
        <w:t>民國</w:t>
      </w:r>
      <w:r>
        <w:t xml:space="preserve"> 106 </w:t>
      </w:r>
      <w:r>
        <w:t>年</w:t>
      </w:r>
      <w:r>
        <w:t xml:space="preserve"> 03 </w:t>
      </w:r>
      <w:r>
        <w:t>月</w:t>
      </w:r>
      <w:r>
        <w:t xml:space="preserve"> 22 </w:t>
      </w:r>
      <w:r>
        <w:t>日</w:t>
      </w:r>
    </w:p>
    <w:tbl>
      <w:tblPr>
        <w:tblW w:w="51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220"/>
        <w:gridCol w:w="8918"/>
      </w:tblGrid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5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本標準依醫療法（以下簡稱本法）第十二條第三項規定訂定之。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6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醫療機構分類如下：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一、醫院：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（一）醫院：指設有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科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或數科診療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科別，每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科均有專科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醫師之醫院。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（二）慢性醫院：指設有慢性一般病床，其收治之病人平均住院日在三十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日以上之醫院。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（三）精神科醫院：指設有病床，主要收治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罹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患精神疾病病人之醫院。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（四）中醫醫院：指設有病床，主要從事中醫診療業務之醫院。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（五）牙醫醫院：指設有病床，專門從事牙醫診療業務之醫院。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（六）性侵害犯罪加害人強制治療醫院：指設有病床，專門收治性侵害犯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罪加害人強制治療業務之醫院。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二、診所：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（一）診所：指由醫師從事門診診療業務之處所。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（二）中醫診所：指由中醫師從事中醫門診診療業務之處所。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（三）牙醫診所：指由牙醫師從事牙醫門診診療業務之處所。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（四）醫務室：指依法律規定，應對其員工或成員提供醫療衛生服務或緊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急醫療救護之事業單位、學校、矯正機關或其他機關（構）所附設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之機構。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（五）衛生所：指由直轄市、縣（市）政府設立，辦理各該轄區內有關衛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生保健事項之處所。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三、其他醫療機構：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（一）捐血機構：指專門從事採集捐血人血液，並供應醫療機構用血之機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構。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（二）病理機構：指專門從事解剖病理或臨床病理業務之機構。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（三）其他：指執行其他非以直接診治病人為目的而由醫師辦理醫療保健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 業務之機構。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7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3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361C5CE2" wp14:editId="792423DD">
                  <wp:extent cx="101600" cy="139700"/>
                  <wp:effectExtent l="0" t="0" r="0" b="0"/>
                  <wp:docPr id="1" name="圖片 1" descr="附件檔案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附件檔案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醫院設置基準，規定如附表（一）。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9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4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249BC233" wp14:editId="0675EC88">
                  <wp:extent cx="101600" cy="139700"/>
                  <wp:effectExtent l="0" t="0" r="0" b="0"/>
                  <wp:docPr id="2" name="圖片 2" descr="附件檔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附件檔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慢性醫院不得設加護病房、手術室、急診等設施。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慢性醫院設置標準，規定如附表（二）。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0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5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68050AB3" wp14:editId="2478613A">
                  <wp:extent cx="101600" cy="139700"/>
                  <wp:effectExtent l="0" t="0" r="0" b="0"/>
                  <wp:docPr id="3" name="圖片 3" descr="附件檔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附件檔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精神科醫院設置標準，規定如附表（三）。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1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6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3D6A141C" wp14:editId="29923DF4">
                  <wp:extent cx="101600" cy="139700"/>
                  <wp:effectExtent l="0" t="0" r="0" b="0"/>
                  <wp:docPr id="4" name="圖片 4" descr="附件檔案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附件檔案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中醫醫院設置標準，規定如附表（四）。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2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7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495A1F46" wp14:editId="216EAD27">
                  <wp:extent cx="101600" cy="139700"/>
                  <wp:effectExtent l="0" t="0" r="0" b="0"/>
                  <wp:docPr id="5" name="圖片 5" descr="附件檔案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附件檔案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牙醫醫院設置標準，規定如附表（五）。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3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8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2E9B4F4F" wp14:editId="173E4FE9">
                  <wp:extent cx="101600" cy="139700"/>
                  <wp:effectExtent l="0" t="0" r="0" b="0"/>
                  <wp:docPr id="6" name="圖片 6" descr="附件檔案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附件檔案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性侵害犯罪加害人強制治療醫院設置標準，規定如附表（六）。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4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9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4C5AFA46" wp14:editId="59403841">
                  <wp:extent cx="101600" cy="139700"/>
                  <wp:effectExtent l="0" t="0" r="0" b="0"/>
                  <wp:docPr id="7" name="圖片 7" descr="附件檔案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附件檔案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診所設置標準，規定如附表（七）。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5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10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19AE3EE1" wp14:editId="4CAEF3B0">
                  <wp:extent cx="101600" cy="139700"/>
                  <wp:effectExtent l="0" t="0" r="0" b="0"/>
                  <wp:docPr id="8" name="圖片 8" descr="附件檔案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附件檔案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醫務室、衛生所得依業務需要設置西醫、牙醫、中醫相關診療科別。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醫務室、衛生所設置標準，除前項規定外，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準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用附表（七）規定。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6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11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noProof/>
                <w:color w:val="0000FF"/>
                <w:kern w:val="0"/>
                <w:sz w:val="28"/>
                <w:szCs w:val="28"/>
              </w:rPr>
              <w:drawing>
                <wp:inline distT="0" distB="0" distL="0" distR="0" wp14:anchorId="45041603" wp14:editId="48CD3965">
                  <wp:extent cx="101600" cy="139700"/>
                  <wp:effectExtent l="0" t="0" r="0" b="0"/>
                  <wp:docPr id="9" name="圖片 9" descr="附件檔案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附件檔案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捐血機構之設立，以公立醫療機構、醫療財團法人為限。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捐血機構設置標準，規定如附表（八）。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7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12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本標準未訂定設置標準之醫療機構，其設置應符合中央主管機關之規定。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8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13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公立或法人所設醫院附設之門診部，屬醫院之擴充，應依醫院設立或擴充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許可辦法規定辦理。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前項門診部與醫院為同一直轄市、縣（市）行政區域者，無需另行請領開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業執照；非屬同一行政區域者，應分別向所在地直轄市、縣（市）主管機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關請領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開業執照。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第一項法人所設醫院附設之門診部，以離島或原住民族地區為限。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本標準中華民國一百零六年三月二十二日修正施行前，第二項前段之門診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部已領有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開業執照者，應於修正施行後一年內，向所在地主管機關申請廢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止之；屆期未申請廢止者，由所在地主管機關廢止之。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19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14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醫院設慢性病房者，其急性病房與慢性病房應有獨立空間區隔；慢性病房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使用數樓層者，各樓層應為連續使用，不得與急性病房交叉樓層設置。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0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15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醫院病床分類如下：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一、一般病床：包括急性一般病床、精神急性一般病床、慢性一般病床、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精神慢性一般病床。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二、特殊病床：包括加護病床、精神科加護病床、燒傷加護病床、燒傷病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床、亞急性呼吸照護病床、慢性呼吸照護病床、隔離病床、骨髓移植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病床、安寧病床、嬰兒病床、嬰兒床、血液透析床、腹膜透析床、手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術恢復床、急診觀察床、性侵害犯罪加害人強制治療病床、急性後期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照護病床、整合醫學急診後送病床。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1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16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醫院病床之登記，分許可床數與開放床數。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前項所定許可床數，依醫院設立或擴充許可辦法規定。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開放床數之登記，一般病床不得超過原許可床數；慢性呼吸照護病床及血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液透析床合計數，不得超過一般病床之許可床數。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本標準中華民國一百零一年四月九日修正發布前，醫院特殊病床合計數已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逾一般病床之許可床數者，其特殊病床種類可相互調整，不得再增設。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lastRenderedPageBreak/>
              <w:t>公立、私立、醫療法人、法人附設醫院變更屬性，或私立醫院變更負責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師，依本法規定重新申請開業執照時，其承受原醫院之病床有前項規定情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形者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，亦適用前項規定。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2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17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醫療機構開業執照，應登載下列事項：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一、申請人。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二、醫療機構名稱。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三、負責醫師。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四、診療科別。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五、開放使用床數。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六、其他依中央主管機關規定應登載事項。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醫療機構之診療科別，非符合本標準規定者，不得申請設置。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3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18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醫院之診療科別，依專科醫師分科及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甄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審辦法所定之分科或細分科登記設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置。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前項辦法未規定之分科或細分科，醫院得依需要登記設置。但細分科之登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記設置，應經依前項規定登記設置之診療科別，始得登記設置其細分科。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依前項規定登記設置之診療科別，開業執照不予登載。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4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19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醫師執業，應辦理登記其執業科別，並應以其執業醫療機構經核准登記之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診療科別範圍內辦理登記。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5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20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醫療機構之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事人員，除醫療機構間之會診、支援外，前往他醫療機構執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行業務，應依各該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事人員法律規定，經事先報准，始得為之。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前項所稱醫療機構間之會診、支援，指未固定排班提供診療者而言。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第一項所定之事先報准，其為越區前往他醫療機構執行業務者，應報經所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在地直轄市或縣（市）主管機關核准，並副知執行地直轄市或縣（市）主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管機關。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前項醫療機構所在地直轄市或縣（市）主管機關審核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事人員越區執業申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請案件，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應副知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執行地直轄市或縣（市）主管機關。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6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21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醫師經事先報准前往他醫療機構執行業務之科別，不受第十七條規定應經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核准登記之診療科別限制。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7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21-1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醫療機構提供病人醫療服務，除前二條情形外，應以自行進用之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事人員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為之，不得委外辦理。</w:t>
            </w:r>
          </w:p>
        </w:tc>
      </w:tr>
      <w:tr w:rsidR="00DB546C" w:rsidRPr="00DB546C" w:rsidTr="00DB546C">
        <w:trPr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8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22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醫療機構登記事項有變更，致不符本標準規定者，除依本法規定處理外，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依下列規定辦理：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一、依開放床數應配置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醫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事人員之人數不符規定者，應於事實發生之日起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lastRenderedPageBreak/>
              <w:t xml:space="preserve">    </w:t>
            </w:r>
            <w:proofErr w:type="gramStart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三</w:t>
            </w:r>
            <w:proofErr w:type="gramEnd"/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十日內補正，屆期未補正刪減其登記開放床數。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二、診療科別應配置專科醫師之人數不符規定者，應於事實發生之日起三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十日內補正，屆期未補正廢止該診療科別之登記。</w:t>
            </w:r>
          </w:p>
        </w:tc>
      </w:tr>
      <w:tr w:rsidR="00DB546C" w:rsidRPr="00DB546C" w:rsidTr="00DB546C">
        <w:trPr>
          <w:trHeight w:val="813"/>
          <w:tblCellSpacing w:w="15" w:type="dxa"/>
          <w:jc w:val="center"/>
        </w:trPr>
        <w:tc>
          <w:tcPr>
            <w:tcW w:w="642" w:type="pct"/>
            <w:noWrap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hyperlink r:id="rId29" w:history="1">
              <w:r w:rsidRPr="00DB546C">
                <w:rPr>
                  <w:rFonts w:ascii="新細明體" w:eastAsia="新細明體" w:hAnsi="新細明體" w:cs="新細明體"/>
                  <w:color w:val="0000FF"/>
                  <w:kern w:val="0"/>
                  <w:sz w:val="28"/>
                  <w:szCs w:val="28"/>
                  <w:u w:val="single"/>
                </w:rPr>
                <w:t>第 23 條</w:t>
              </w:r>
            </w:hyperlink>
          </w:p>
        </w:tc>
        <w:tc>
          <w:tcPr>
            <w:tcW w:w="90" w:type="pct"/>
            <w:vAlign w:val="center"/>
            <w:hideMark/>
          </w:tcPr>
          <w:p w:rsidR="00DB546C" w:rsidRPr="00DB546C" w:rsidRDefault="00DB546C" w:rsidP="00DB546C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B546C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 </w:t>
            </w:r>
          </w:p>
        </w:tc>
        <w:tc>
          <w:tcPr>
            <w:tcW w:w="4211" w:type="pct"/>
            <w:vAlign w:val="center"/>
            <w:hideMark/>
          </w:tcPr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本標準自中華民國一百零二年一月一日施行。</w:t>
            </w:r>
          </w:p>
          <w:p w:rsidR="00DB546C" w:rsidRPr="00DB546C" w:rsidRDefault="00DB546C" w:rsidP="00DB5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DB546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>本標準修正條文，自發布日施行。</w:t>
            </w:r>
          </w:p>
        </w:tc>
      </w:tr>
    </w:tbl>
    <w:p w:rsidR="00DB546C" w:rsidRPr="00DB546C" w:rsidRDefault="00DB546C"/>
    <w:sectPr w:rsidR="00DB546C" w:rsidRPr="00DB546C" w:rsidSect="00DB546C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6C"/>
    <w:rsid w:val="00205F27"/>
    <w:rsid w:val="003F4CE8"/>
    <w:rsid w:val="00D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46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546C"/>
  </w:style>
  <w:style w:type="paragraph" w:styleId="a5">
    <w:name w:val="Balloon Text"/>
    <w:basedOn w:val="a"/>
    <w:link w:val="a6"/>
    <w:uiPriority w:val="99"/>
    <w:semiHidden/>
    <w:unhideWhenUsed/>
    <w:rsid w:val="00DB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54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546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B546C"/>
  </w:style>
  <w:style w:type="paragraph" w:styleId="a5">
    <w:name w:val="Balloon Text"/>
    <w:basedOn w:val="a"/>
    <w:link w:val="a6"/>
    <w:uiPriority w:val="99"/>
    <w:semiHidden/>
    <w:unhideWhenUsed/>
    <w:rsid w:val="00DB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5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law.moj.gov.tw/LawClass/LawSingle.aspx?Pcode=L0020025&amp;FLNO=8" TargetMode="External"/><Relationship Id="rId18" Type="http://schemas.openxmlformats.org/officeDocument/2006/relationships/hyperlink" Target="http://law.moj.gov.tw/LawClass/LawSingle.aspx?Pcode=L0020025&amp;FLNO=13" TargetMode="External"/><Relationship Id="rId26" Type="http://schemas.openxmlformats.org/officeDocument/2006/relationships/hyperlink" Target="http://law.moj.gov.tw/LawClass/LawSingle.aspx?Pcode=L0020025&amp;FLNO=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w.moj.gov.tw/LawClass/LawSingle.aspx?Pcode=L0020025&amp;FLNO=16" TargetMode="External"/><Relationship Id="rId7" Type="http://schemas.openxmlformats.org/officeDocument/2006/relationships/hyperlink" Target="http://law.moj.gov.tw/LawClass/LawSingle.aspx?Pcode=L0020025&amp;FLNO=3" TargetMode="External"/><Relationship Id="rId12" Type="http://schemas.openxmlformats.org/officeDocument/2006/relationships/hyperlink" Target="http://law.moj.gov.tw/LawClass/LawSingle.aspx?Pcode=L0020025&amp;FLNO=7" TargetMode="External"/><Relationship Id="rId17" Type="http://schemas.openxmlformats.org/officeDocument/2006/relationships/hyperlink" Target="http://law.moj.gov.tw/LawClass/LawSingle.aspx?Pcode=L0020025&amp;FLNO=12" TargetMode="External"/><Relationship Id="rId25" Type="http://schemas.openxmlformats.org/officeDocument/2006/relationships/hyperlink" Target="http://law.moj.gov.tw/LawClass/LawSingle.aspx?Pcode=L0020025&amp;FLNO=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w.moj.gov.tw/LawClass/LawSingle.aspx?Pcode=L0020025&amp;FLNO=11" TargetMode="External"/><Relationship Id="rId20" Type="http://schemas.openxmlformats.org/officeDocument/2006/relationships/hyperlink" Target="http://law.moj.gov.tw/LawClass/LawSingle.aspx?Pcode=L0020025&amp;FLNO=15" TargetMode="External"/><Relationship Id="rId29" Type="http://schemas.openxmlformats.org/officeDocument/2006/relationships/hyperlink" Target="http://law.moj.gov.tw/LawClass/LawSingle.aspx?Pcode=L0020025&amp;FLNO=23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L0020025&amp;FLNO=2" TargetMode="External"/><Relationship Id="rId11" Type="http://schemas.openxmlformats.org/officeDocument/2006/relationships/hyperlink" Target="http://law.moj.gov.tw/LawClass/LawSingle.aspx?Pcode=L0020025&amp;FLNO=6" TargetMode="External"/><Relationship Id="rId24" Type="http://schemas.openxmlformats.org/officeDocument/2006/relationships/hyperlink" Target="http://law.moj.gov.tw/LawClass/LawSingle.aspx?Pcode=L0020025&amp;FLNO=19" TargetMode="External"/><Relationship Id="rId5" Type="http://schemas.openxmlformats.org/officeDocument/2006/relationships/hyperlink" Target="http://law.moj.gov.tw/LawClass/LawSingle.aspx?Pcode=L0020025&amp;FLNO=1" TargetMode="External"/><Relationship Id="rId15" Type="http://schemas.openxmlformats.org/officeDocument/2006/relationships/hyperlink" Target="http://law.moj.gov.tw/LawClass/LawSingle.aspx?Pcode=L0020025&amp;FLNO=10" TargetMode="External"/><Relationship Id="rId23" Type="http://schemas.openxmlformats.org/officeDocument/2006/relationships/hyperlink" Target="http://law.moj.gov.tw/LawClass/LawSingle.aspx?Pcode=L0020025&amp;FLNO=18" TargetMode="External"/><Relationship Id="rId28" Type="http://schemas.openxmlformats.org/officeDocument/2006/relationships/hyperlink" Target="http://law.moj.gov.tw/LawClass/LawSingle.aspx?Pcode=L0020025&amp;FLNO=22" TargetMode="External"/><Relationship Id="rId10" Type="http://schemas.openxmlformats.org/officeDocument/2006/relationships/hyperlink" Target="http://law.moj.gov.tw/LawClass/LawSingle.aspx?Pcode=L0020025&amp;FLNO=5" TargetMode="External"/><Relationship Id="rId19" Type="http://schemas.openxmlformats.org/officeDocument/2006/relationships/hyperlink" Target="http://law.moj.gov.tw/LawClass/LawSingle.aspx?Pcode=L0020025&amp;FLNO=1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.aspx?Pcode=L0020025&amp;FLNO=4" TargetMode="External"/><Relationship Id="rId14" Type="http://schemas.openxmlformats.org/officeDocument/2006/relationships/hyperlink" Target="http://law.moj.gov.tw/LawClass/LawSingle.aspx?Pcode=L0020025&amp;FLNO=9" TargetMode="External"/><Relationship Id="rId22" Type="http://schemas.openxmlformats.org/officeDocument/2006/relationships/hyperlink" Target="http://law.moj.gov.tw/LawClass/LawSingle.aspx?Pcode=L0020025&amp;FLNO=17" TargetMode="External"/><Relationship Id="rId27" Type="http://schemas.openxmlformats.org/officeDocument/2006/relationships/hyperlink" Target="http://law.moj.gov.tw/LawClass/LawSingle.aspx?Pcode=L0020025&amp;FLNO=21-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2017-08-21T01:34:00Z</dcterms:created>
  <dcterms:modified xsi:type="dcterms:W3CDTF">2017-08-21T01:37:00Z</dcterms:modified>
</cp:coreProperties>
</file>